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45E03" w14:textId="77777777" w:rsidR="00AC4F09" w:rsidRPr="001730F8" w:rsidRDefault="00AC4F09" w:rsidP="001730F8">
      <w:pPr>
        <w:pStyle w:val="Heading1"/>
        <w:pBdr>
          <w:bottom w:val="single" w:sz="4" w:space="1" w:color="auto"/>
        </w:pBdr>
      </w:pPr>
      <w:r w:rsidRPr="001730F8">
        <w:t>2018 Georgia HCV Elimination Spring Workshop and Extended Trip Report and Recommendations from the ECHO Institute</w:t>
      </w:r>
    </w:p>
    <w:p w14:paraId="6477874F" w14:textId="77777777" w:rsidR="00AC4F09" w:rsidRDefault="00AC4F09" w:rsidP="00AC4F09"/>
    <w:p w14:paraId="588EC2F4" w14:textId="77777777" w:rsidR="008A7EE9" w:rsidRDefault="008A7EE9" w:rsidP="001730F8">
      <w:pPr>
        <w:pStyle w:val="Heading2"/>
      </w:pPr>
      <w:r>
        <w:t>Introduction</w:t>
      </w:r>
    </w:p>
    <w:p w14:paraId="77DA0200" w14:textId="77777777" w:rsidR="00526017" w:rsidRDefault="00526017" w:rsidP="00526017">
      <w:pPr>
        <w:pStyle w:val="ListParagraph"/>
      </w:pPr>
      <w:r>
        <w:t>Since October 2015, the ECHO Institute ha</w:t>
      </w:r>
      <w:r w:rsidR="00C92879">
        <w:t>s participated in</w:t>
      </w:r>
      <w:r>
        <w:t xml:space="preserve"> Georgia’s national initiative towards hepatitis C elimination which launched in April 2015. Through partnership with the LIFER Foundation, the ECHO Institute</w:t>
      </w:r>
      <w:r w:rsidR="00C92879">
        <w:t xml:space="preserve"> </w:t>
      </w:r>
      <w:r>
        <w:t xml:space="preserve">provides training, technical assistance, and support in the implementation of the ECHO model™ to increase the capacity of frontline healthcare providers. The ECHO Institute has successfully trained four medical centers in Tbilisi, Georgia to become Project ECHO “hubs” including HEPA Clinic, Infectious Diseases, AIDS and Clinical Immunology Research Center, </w:t>
      </w:r>
      <w:r w:rsidR="004F12B8">
        <w:t>Medical Center Mrcheveli and Neolab.</w:t>
      </w:r>
    </w:p>
    <w:p w14:paraId="018BA168" w14:textId="77777777" w:rsidR="00526017" w:rsidRDefault="00526017" w:rsidP="00526017">
      <w:pPr>
        <w:pStyle w:val="ListParagraph"/>
      </w:pPr>
    </w:p>
    <w:p w14:paraId="64BBB95E" w14:textId="77777777" w:rsidR="00526017" w:rsidRPr="00526017" w:rsidRDefault="00526017" w:rsidP="00526017">
      <w:pPr>
        <w:pStyle w:val="ListParagraph"/>
      </w:pPr>
      <w:r>
        <w:t>Leadership of Project ECHO’s Georgia HCV Elimination Team traveled to Tbilisi, Georgia to participate in the 2018 Spring Workshop and to meet with colleagues to discuss continued technical assistance. This report includes a summary of activities and key recommendations from the EC</w:t>
      </w:r>
      <w:r w:rsidR="001730F8">
        <w:t>HO Institute aimed at supporting an expedited d</w:t>
      </w:r>
      <w:r>
        <w:t>ecentralization of the</w:t>
      </w:r>
      <w:r w:rsidR="001730F8">
        <w:t xml:space="preserve"> Georgia</w:t>
      </w:r>
      <w:r>
        <w:t xml:space="preserve"> HCV Elimination Project</w:t>
      </w:r>
      <w:r w:rsidR="001730F8">
        <w:t>.</w:t>
      </w:r>
    </w:p>
    <w:p w14:paraId="10C339E6" w14:textId="77777777" w:rsidR="00AC4F09" w:rsidRPr="00AC4F09" w:rsidRDefault="00AC4F09" w:rsidP="001730F8">
      <w:pPr>
        <w:pStyle w:val="Heading2"/>
      </w:pPr>
      <w:r>
        <w:lastRenderedPageBreak/>
        <w:t>Summary of Activities</w:t>
      </w:r>
    </w:p>
    <w:p w14:paraId="2C90D6F7" w14:textId="77777777" w:rsidR="008A7EE9" w:rsidRDefault="008834E8" w:rsidP="004338FA">
      <w:pPr>
        <w:ind w:left="720"/>
      </w:pPr>
      <w:r>
        <w:t xml:space="preserve">Dr. Karla Thornton and Miranda Sedillo </w:t>
      </w:r>
      <w:r w:rsidR="004338FA">
        <w:t>traveled to Tbilisi, Georgia 5 March through 14 March, 2018. The goal of the trip was to attend</w:t>
      </w:r>
      <w:r w:rsidR="00C92879">
        <w:t xml:space="preserve"> planned</w:t>
      </w:r>
      <w:r w:rsidR="004338FA">
        <w:t xml:space="preserve"> workshops and facilitate planning meetings with leaders of the Georgia HCV Elimination Project.</w:t>
      </w:r>
      <w:r w:rsidR="00092C88">
        <w:t xml:space="preserve"> </w:t>
      </w:r>
      <w:r w:rsidR="00092C88">
        <w:fldChar w:fldCharType="begin"/>
      </w:r>
      <w:r w:rsidR="00092C88">
        <w:instrText xml:space="preserve"> REF _Ref509496784 \h </w:instrText>
      </w:r>
      <w:r w:rsidR="00092C88">
        <w:fldChar w:fldCharType="separate"/>
      </w:r>
      <w:r w:rsidR="00092C88">
        <w:t xml:space="preserve">Table </w:t>
      </w:r>
      <w:r w:rsidR="00092C88">
        <w:rPr>
          <w:noProof/>
        </w:rPr>
        <w:t>1</w:t>
      </w:r>
      <w:r w:rsidR="00092C88">
        <w:t xml:space="preserve"> - ECHO Institute Workshops and Planning Meetings Summary, Spring 2018</w:t>
      </w:r>
      <w:r w:rsidR="00092C88">
        <w:fldChar w:fldCharType="end"/>
      </w:r>
      <w:r w:rsidR="004338FA">
        <w:t xml:space="preserve"> details the workshops and planning meetings attended by the ECHO Institute with each session’s associated </w:t>
      </w:r>
      <w:r w:rsidR="00092C88">
        <w:t>session</w:t>
      </w:r>
      <w:r w:rsidR="00C92879">
        <w:t xml:space="preserve"> purpose</w:t>
      </w:r>
      <w:r w:rsidR="004338FA">
        <w:t>.</w:t>
      </w:r>
      <w:r w:rsidR="00092C88">
        <w:t xml:space="preserve"> </w:t>
      </w:r>
    </w:p>
    <w:p w14:paraId="4B93943A" w14:textId="77777777" w:rsidR="00092C88" w:rsidRDefault="00092C88" w:rsidP="00092C88">
      <w:pPr>
        <w:pStyle w:val="Caption"/>
        <w:keepNext/>
      </w:pPr>
      <w:bookmarkStart w:id="0" w:name="_Ref509496784"/>
      <w:r>
        <w:t xml:space="preserve">Table </w:t>
      </w:r>
      <w:fldSimple w:instr=" SEQ Table \* ARABIC ">
        <w:r>
          <w:rPr>
            <w:noProof/>
          </w:rPr>
          <w:t>1</w:t>
        </w:r>
      </w:fldSimple>
      <w:r>
        <w:t xml:space="preserve"> - ECHO Institute Workshops and Planning Meetings Summary, Spring 2018</w:t>
      </w:r>
      <w:bookmarkEnd w:id="0"/>
    </w:p>
    <w:tbl>
      <w:tblPr>
        <w:tblStyle w:val="TableGrid"/>
        <w:tblW w:w="0" w:type="auto"/>
        <w:tblLook w:val="04A0" w:firstRow="1" w:lastRow="0" w:firstColumn="1" w:lastColumn="0" w:noHBand="0" w:noVBand="1"/>
      </w:tblPr>
      <w:tblGrid>
        <w:gridCol w:w="1075"/>
        <w:gridCol w:w="2827"/>
        <w:gridCol w:w="5448"/>
      </w:tblGrid>
      <w:tr w:rsidR="0053565C" w14:paraId="5B8DF338" w14:textId="77777777" w:rsidTr="0053565C">
        <w:trPr>
          <w:trHeight w:val="288"/>
        </w:trPr>
        <w:tc>
          <w:tcPr>
            <w:tcW w:w="0" w:type="auto"/>
            <w:gridSpan w:val="3"/>
            <w:shd w:val="clear" w:color="auto" w:fill="000000" w:themeFill="text1"/>
          </w:tcPr>
          <w:p w14:paraId="77AA4E62" w14:textId="77777777" w:rsidR="0053565C" w:rsidRPr="00092C88" w:rsidRDefault="0053565C" w:rsidP="004338FA">
            <w:pPr>
              <w:rPr>
                <w:b/>
              </w:rPr>
            </w:pPr>
            <w:r w:rsidRPr="00092C88">
              <w:rPr>
                <w:b/>
              </w:rPr>
              <w:t>ECHO Institute Workshops and Planning Meetings Summary, Spring 2018</w:t>
            </w:r>
          </w:p>
        </w:tc>
      </w:tr>
      <w:tr w:rsidR="0053565C" w14:paraId="0BDE5A50" w14:textId="77777777" w:rsidTr="0053565C">
        <w:trPr>
          <w:trHeight w:val="323"/>
        </w:trPr>
        <w:tc>
          <w:tcPr>
            <w:tcW w:w="1075" w:type="dxa"/>
            <w:shd w:val="clear" w:color="auto" w:fill="D9D9D9" w:themeFill="background1" w:themeFillShade="D9"/>
          </w:tcPr>
          <w:p w14:paraId="6FB8A1A7" w14:textId="77777777" w:rsidR="0053565C" w:rsidRPr="00092C88" w:rsidRDefault="0053565C" w:rsidP="00092C88">
            <w:pPr>
              <w:jc w:val="center"/>
              <w:rPr>
                <w:b/>
              </w:rPr>
            </w:pPr>
            <w:r w:rsidRPr="00092C88">
              <w:rPr>
                <w:b/>
              </w:rPr>
              <w:t>Date</w:t>
            </w:r>
          </w:p>
        </w:tc>
        <w:tc>
          <w:tcPr>
            <w:tcW w:w="2827" w:type="dxa"/>
            <w:shd w:val="clear" w:color="auto" w:fill="D9D9D9" w:themeFill="background1" w:themeFillShade="D9"/>
          </w:tcPr>
          <w:p w14:paraId="191E7C9B" w14:textId="77777777" w:rsidR="0053565C" w:rsidRPr="00092C88" w:rsidRDefault="0053565C" w:rsidP="00092C88">
            <w:pPr>
              <w:jc w:val="center"/>
              <w:rPr>
                <w:b/>
              </w:rPr>
            </w:pPr>
            <w:r w:rsidRPr="00092C88">
              <w:rPr>
                <w:b/>
              </w:rPr>
              <w:t>Meeting</w:t>
            </w:r>
          </w:p>
        </w:tc>
        <w:tc>
          <w:tcPr>
            <w:tcW w:w="0" w:type="auto"/>
            <w:shd w:val="clear" w:color="auto" w:fill="D9D9D9" w:themeFill="background1" w:themeFillShade="D9"/>
          </w:tcPr>
          <w:p w14:paraId="419F0061" w14:textId="77777777" w:rsidR="0053565C" w:rsidRPr="00092C88" w:rsidRDefault="0053565C" w:rsidP="00092C88">
            <w:pPr>
              <w:jc w:val="center"/>
              <w:rPr>
                <w:b/>
              </w:rPr>
            </w:pPr>
            <w:r w:rsidRPr="00092C88">
              <w:rPr>
                <w:b/>
              </w:rPr>
              <w:t>Purpose</w:t>
            </w:r>
          </w:p>
        </w:tc>
      </w:tr>
      <w:tr w:rsidR="0053565C" w14:paraId="0FBDCFDB" w14:textId="77777777" w:rsidTr="0053565C">
        <w:trPr>
          <w:trHeight w:val="288"/>
        </w:trPr>
        <w:tc>
          <w:tcPr>
            <w:tcW w:w="1075" w:type="dxa"/>
          </w:tcPr>
          <w:p w14:paraId="6C3B7711" w14:textId="77777777" w:rsidR="0053565C" w:rsidRDefault="0053565C" w:rsidP="0053565C">
            <w:r>
              <w:t>6 March</w:t>
            </w:r>
          </w:p>
        </w:tc>
        <w:tc>
          <w:tcPr>
            <w:tcW w:w="2827" w:type="dxa"/>
          </w:tcPr>
          <w:p w14:paraId="4053B65F" w14:textId="77777777" w:rsidR="0053565C" w:rsidRDefault="0053565C" w:rsidP="004338FA">
            <w:r>
              <w:t>Surveillance Workshop</w:t>
            </w:r>
          </w:p>
        </w:tc>
        <w:tc>
          <w:tcPr>
            <w:tcW w:w="0" w:type="auto"/>
          </w:tcPr>
          <w:p w14:paraId="66882344" w14:textId="77777777" w:rsidR="0053565C" w:rsidRDefault="0053565C" w:rsidP="00985F88">
            <w:r>
              <w:t>Update progress, needs and limitations related to surveillance of HCV in Georgia</w:t>
            </w:r>
          </w:p>
        </w:tc>
      </w:tr>
      <w:tr w:rsidR="0053565C" w14:paraId="43FEEDA8" w14:textId="77777777" w:rsidTr="0053565C">
        <w:trPr>
          <w:trHeight w:val="288"/>
        </w:trPr>
        <w:tc>
          <w:tcPr>
            <w:tcW w:w="1075" w:type="dxa"/>
          </w:tcPr>
          <w:p w14:paraId="7FDBCA77" w14:textId="77777777" w:rsidR="0053565C" w:rsidRDefault="0053565C" w:rsidP="0053565C">
            <w:r>
              <w:t>7 March</w:t>
            </w:r>
          </w:p>
        </w:tc>
        <w:tc>
          <w:tcPr>
            <w:tcW w:w="2827" w:type="dxa"/>
          </w:tcPr>
          <w:p w14:paraId="2DF32321" w14:textId="77777777" w:rsidR="0053565C" w:rsidRDefault="0053565C" w:rsidP="0076544D">
            <w:r>
              <w:t>5th National Hepatitis C Elimination Workshop</w:t>
            </w:r>
          </w:p>
        </w:tc>
        <w:tc>
          <w:tcPr>
            <w:tcW w:w="0" w:type="auto"/>
          </w:tcPr>
          <w:p w14:paraId="6397720B" w14:textId="77777777" w:rsidR="0053565C" w:rsidRDefault="0053565C" w:rsidP="004338FA">
            <w:r>
              <w:t>Update progress and needs since 2017 TAG Meeting</w:t>
            </w:r>
          </w:p>
        </w:tc>
      </w:tr>
      <w:tr w:rsidR="0053565C" w14:paraId="3B51383A" w14:textId="77777777" w:rsidTr="0053565C">
        <w:trPr>
          <w:trHeight w:val="288"/>
        </w:trPr>
        <w:tc>
          <w:tcPr>
            <w:tcW w:w="1075" w:type="dxa"/>
          </w:tcPr>
          <w:p w14:paraId="25F021D2" w14:textId="77777777" w:rsidR="0053565C" w:rsidRDefault="0053565C" w:rsidP="0053565C">
            <w:r>
              <w:t>8 March</w:t>
            </w:r>
          </w:p>
        </w:tc>
        <w:tc>
          <w:tcPr>
            <w:tcW w:w="2827" w:type="dxa"/>
          </w:tcPr>
          <w:p w14:paraId="084E3C53" w14:textId="77777777" w:rsidR="0053565C" w:rsidRDefault="0053565C" w:rsidP="00985F88">
            <w:r>
              <w:t>Project ECHO Hub Dinner meeting – IDACIRC/HEPA Clinic</w:t>
            </w:r>
          </w:p>
        </w:tc>
        <w:tc>
          <w:tcPr>
            <w:tcW w:w="0" w:type="auto"/>
          </w:tcPr>
          <w:p w14:paraId="3C6CF71F" w14:textId="77777777" w:rsidR="0053565C" w:rsidRDefault="0053565C" w:rsidP="00985F88">
            <w:r>
              <w:t>Discuss Project ECHO hub needs and strategies for Project ECHO to support decentralization of treatment</w:t>
            </w:r>
          </w:p>
        </w:tc>
      </w:tr>
      <w:tr w:rsidR="0053565C" w14:paraId="56902BC6" w14:textId="77777777" w:rsidTr="0053565C">
        <w:trPr>
          <w:trHeight w:val="288"/>
        </w:trPr>
        <w:tc>
          <w:tcPr>
            <w:tcW w:w="1075" w:type="dxa"/>
            <w:vMerge w:val="restart"/>
          </w:tcPr>
          <w:p w14:paraId="35E6EC5A" w14:textId="77777777" w:rsidR="0053565C" w:rsidRDefault="0053565C" w:rsidP="0053565C">
            <w:r>
              <w:t>9 March</w:t>
            </w:r>
          </w:p>
        </w:tc>
        <w:tc>
          <w:tcPr>
            <w:tcW w:w="2827" w:type="dxa"/>
          </w:tcPr>
          <w:p w14:paraId="77060605" w14:textId="77777777" w:rsidR="0053565C" w:rsidRDefault="00A9030B" w:rsidP="00985F88">
            <w:r>
              <w:t>5th National Hepatitis C Elimination Workshop</w:t>
            </w:r>
          </w:p>
        </w:tc>
        <w:tc>
          <w:tcPr>
            <w:tcW w:w="0" w:type="auto"/>
          </w:tcPr>
          <w:p w14:paraId="3D21D90A" w14:textId="77777777" w:rsidR="0053565C" w:rsidRDefault="0053565C" w:rsidP="00985F88">
            <w:r>
              <w:t>Update progress and needs since 2017 TAG Meeting</w:t>
            </w:r>
          </w:p>
        </w:tc>
      </w:tr>
      <w:tr w:rsidR="0053565C" w14:paraId="43C18512" w14:textId="77777777" w:rsidTr="0053565C">
        <w:trPr>
          <w:trHeight w:val="288"/>
        </w:trPr>
        <w:tc>
          <w:tcPr>
            <w:tcW w:w="1075" w:type="dxa"/>
            <w:vMerge/>
          </w:tcPr>
          <w:p w14:paraId="73EC2E48" w14:textId="77777777" w:rsidR="0053565C" w:rsidRDefault="0053565C" w:rsidP="0053565C"/>
        </w:tc>
        <w:tc>
          <w:tcPr>
            <w:tcW w:w="2827" w:type="dxa"/>
          </w:tcPr>
          <w:p w14:paraId="46B87AD0" w14:textId="77777777" w:rsidR="0053565C" w:rsidRDefault="0053565C" w:rsidP="00985F88">
            <w:r>
              <w:t>Project ECHO Hub Dinner meeting – Mrcheveli</w:t>
            </w:r>
          </w:p>
        </w:tc>
        <w:tc>
          <w:tcPr>
            <w:tcW w:w="0" w:type="auto"/>
          </w:tcPr>
          <w:p w14:paraId="2E4C64BD" w14:textId="77777777" w:rsidR="0053565C" w:rsidRDefault="0053565C" w:rsidP="00985F88">
            <w:r>
              <w:t>Discuss Project ECHO hub needs and strategies for Project ECHO to support decentralization of treatment</w:t>
            </w:r>
          </w:p>
        </w:tc>
      </w:tr>
      <w:tr w:rsidR="0053565C" w14:paraId="305AC873" w14:textId="77777777" w:rsidTr="0053565C">
        <w:trPr>
          <w:trHeight w:val="301"/>
        </w:trPr>
        <w:tc>
          <w:tcPr>
            <w:tcW w:w="1075" w:type="dxa"/>
            <w:vMerge w:val="restart"/>
          </w:tcPr>
          <w:p w14:paraId="721AD848" w14:textId="77777777" w:rsidR="0053565C" w:rsidRDefault="0053565C" w:rsidP="0053565C">
            <w:r>
              <w:t>10 March</w:t>
            </w:r>
          </w:p>
        </w:tc>
        <w:tc>
          <w:tcPr>
            <w:tcW w:w="2827" w:type="dxa"/>
          </w:tcPr>
          <w:p w14:paraId="0AE82CB5" w14:textId="77777777" w:rsidR="0053565C" w:rsidRDefault="0053565C" w:rsidP="00985F88">
            <w:r>
              <w:t xml:space="preserve">Site visit: </w:t>
            </w:r>
            <w:r w:rsidRPr="00BB320B">
              <w:t>Family Medicine Ce</w:t>
            </w:r>
            <w:r>
              <w:t>nter</w:t>
            </w:r>
          </w:p>
        </w:tc>
        <w:tc>
          <w:tcPr>
            <w:tcW w:w="0" w:type="auto"/>
          </w:tcPr>
          <w:p w14:paraId="0807DA9F" w14:textId="77777777" w:rsidR="0053565C" w:rsidRDefault="0053565C" w:rsidP="00985F88">
            <w:r>
              <w:t xml:space="preserve">Site visit to primary care </w:t>
            </w:r>
            <w:r w:rsidR="008834E8">
              <w:t xml:space="preserve">provider (PCP) clinic in IDACIRC </w:t>
            </w:r>
            <w:r>
              <w:t>pilot project to review SOPs and plan for HCV treatment in PCP clinic</w:t>
            </w:r>
          </w:p>
        </w:tc>
      </w:tr>
      <w:tr w:rsidR="0053565C" w14:paraId="5A97DC67" w14:textId="77777777" w:rsidTr="0053565C">
        <w:trPr>
          <w:trHeight w:val="301"/>
        </w:trPr>
        <w:tc>
          <w:tcPr>
            <w:tcW w:w="1075" w:type="dxa"/>
            <w:vMerge/>
          </w:tcPr>
          <w:p w14:paraId="25C8B095" w14:textId="77777777" w:rsidR="0053565C" w:rsidRDefault="0053565C" w:rsidP="00985F88"/>
        </w:tc>
        <w:tc>
          <w:tcPr>
            <w:tcW w:w="2827" w:type="dxa"/>
          </w:tcPr>
          <w:p w14:paraId="1F2AFE93" w14:textId="77777777" w:rsidR="0053565C" w:rsidRDefault="0053565C" w:rsidP="00985F88">
            <w:r>
              <w:t>Review of NCDC/CDC Joint projects</w:t>
            </w:r>
          </w:p>
        </w:tc>
        <w:tc>
          <w:tcPr>
            <w:tcW w:w="0" w:type="auto"/>
          </w:tcPr>
          <w:p w14:paraId="4F751AF4" w14:textId="77777777" w:rsidR="0053565C" w:rsidRDefault="0053565C" w:rsidP="00985F88">
            <w:r>
              <w:t>Discuss project to i</w:t>
            </w:r>
            <w:r w:rsidRPr="00985F88">
              <w:t>ncrease the number of patients who register in the HCV treatment program through assessing the barrie</w:t>
            </w:r>
            <w:r>
              <w:t>rs to enrollment in the program</w:t>
            </w:r>
          </w:p>
        </w:tc>
      </w:tr>
      <w:tr w:rsidR="0053565C" w14:paraId="7E43F4BE" w14:textId="77777777" w:rsidTr="0053565C">
        <w:trPr>
          <w:trHeight w:val="301"/>
        </w:trPr>
        <w:tc>
          <w:tcPr>
            <w:tcW w:w="1075" w:type="dxa"/>
            <w:vMerge/>
          </w:tcPr>
          <w:p w14:paraId="0EEF4C7D" w14:textId="77777777" w:rsidR="0053565C" w:rsidRDefault="0053565C" w:rsidP="00985F88"/>
        </w:tc>
        <w:tc>
          <w:tcPr>
            <w:tcW w:w="2827" w:type="dxa"/>
          </w:tcPr>
          <w:p w14:paraId="0D560E90" w14:textId="77777777" w:rsidR="0053565C" w:rsidRDefault="0053565C" w:rsidP="00985F88">
            <w:r>
              <w:t>Project ECHO Hub Dinner meeting – Neolab</w:t>
            </w:r>
          </w:p>
        </w:tc>
        <w:tc>
          <w:tcPr>
            <w:tcW w:w="0" w:type="auto"/>
          </w:tcPr>
          <w:p w14:paraId="397951CD" w14:textId="77777777" w:rsidR="0053565C" w:rsidRDefault="0053565C" w:rsidP="00985F88">
            <w:r>
              <w:t>Discuss Project ECHO hub needs and strategies for Project ECHO to support decentralization of treatment</w:t>
            </w:r>
          </w:p>
        </w:tc>
      </w:tr>
      <w:tr w:rsidR="0053565C" w14:paraId="6B40B9DF" w14:textId="77777777" w:rsidTr="0053565C">
        <w:trPr>
          <w:trHeight w:val="301"/>
        </w:trPr>
        <w:tc>
          <w:tcPr>
            <w:tcW w:w="1075" w:type="dxa"/>
          </w:tcPr>
          <w:p w14:paraId="101123F9" w14:textId="77777777" w:rsidR="0053565C" w:rsidRDefault="0053565C" w:rsidP="0053565C">
            <w:r>
              <w:t>11 March</w:t>
            </w:r>
          </w:p>
        </w:tc>
        <w:tc>
          <w:tcPr>
            <w:tcW w:w="2827" w:type="dxa"/>
          </w:tcPr>
          <w:p w14:paraId="7C9DC02D" w14:textId="77777777" w:rsidR="0053565C" w:rsidRDefault="0053565C" w:rsidP="00985F88">
            <w:r>
              <w:t>Project ECHO Hub Dinner meeting – IDACIRC/HEPA Clinic</w:t>
            </w:r>
          </w:p>
        </w:tc>
        <w:tc>
          <w:tcPr>
            <w:tcW w:w="0" w:type="auto"/>
          </w:tcPr>
          <w:p w14:paraId="4AE26B71" w14:textId="77777777" w:rsidR="0053565C" w:rsidRDefault="0053565C" w:rsidP="00985F88">
            <w:r>
              <w:t>Discuss Project ECHO hub needs and strategies for Project ECHO to support decentralization of treatment</w:t>
            </w:r>
          </w:p>
        </w:tc>
      </w:tr>
      <w:tr w:rsidR="0053565C" w14:paraId="1580D82F" w14:textId="77777777" w:rsidTr="0053565C">
        <w:trPr>
          <w:trHeight w:val="288"/>
        </w:trPr>
        <w:tc>
          <w:tcPr>
            <w:tcW w:w="1075" w:type="dxa"/>
            <w:vMerge w:val="restart"/>
          </w:tcPr>
          <w:p w14:paraId="2D278877" w14:textId="77777777" w:rsidR="0053565C" w:rsidRDefault="0053565C" w:rsidP="0053565C">
            <w:r>
              <w:t>12 March</w:t>
            </w:r>
          </w:p>
        </w:tc>
        <w:tc>
          <w:tcPr>
            <w:tcW w:w="2827" w:type="dxa"/>
          </w:tcPr>
          <w:p w14:paraId="60AAF8CC" w14:textId="77777777" w:rsidR="0053565C" w:rsidRDefault="0053565C" w:rsidP="00985F88">
            <w:r>
              <w:t>IT Workshop</w:t>
            </w:r>
          </w:p>
        </w:tc>
        <w:tc>
          <w:tcPr>
            <w:tcW w:w="0" w:type="auto"/>
          </w:tcPr>
          <w:p w14:paraId="1A179376" w14:textId="77777777" w:rsidR="0053565C" w:rsidRDefault="0053565C" w:rsidP="00985F88">
            <w:r>
              <w:t>Update progress, needs and limitations related to IT</w:t>
            </w:r>
          </w:p>
        </w:tc>
      </w:tr>
      <w:tr w:rsidR="0053565C" w14:paraId="36E1AA9B" w14:textId="77777777" w:rsidTr="0053565C">
        <w:trPr>
          <w:trHeight w:val="288"/>
        </w:trPr>
        <w:tc>
          <w:tcPr>
            <w:tcW w:w="1075" w:type="dxa"/>
            <w:vMerge/>
          </w:tcPr>
          <w:p w14:paraId="0AF22D0A" w14:textId="77777777" w:rsidR="0053565C" w:rsidRDefault="0053565C" w:rsidP="00985F88"/>
        </w:tc>
        <w:tc>
          <w:tcPr>
            <w:tcW w:w="2827" w:type="dxa"/>
          </w:tcPr>
          <w:p w14:paraId="07B68153" w14:textId="77777777" w:rsidR="0053565C" w:rsidRDefault="0053565C" w:rsidP="00985F88">
            <w:r>
              <w:t>NCDC planning dinner meeting to expand the use of the ECHO Model</w:t>
            </w:r>
          </w:p>
        </w:tc>
        <w:tc>
          <w:tcPr>
            <w:tcW w:w="0" w:type="auto"/>
          </w:tcPr>
          <w:p w14:paraId="7F8BF277" w14:textId="77777777" w:rsidR="0053565C" w:rsidRDefault="0053565C" w:rsidP="00985F88">
            <w:r>
              <w:t>Discuss potential for expanded use of the ECHO Model to support needs outside of HCV in the public health setting</w:t>
            </w:r>
          </w:p>
        </w:tc>
      </w:tr>
      <w:tr w:rsidR="0053565C" w14:paraId="20A9B0F1" w14:textId="77777777" w:rsidTr="0053565C">
        <w:trPr>
          <w:trHeight w:val="288"/>
        </w:trPr>
        <w:tc>
          <w:tcPr>
            <w:tcW w:w="1075" w:type="dxa"/>
            <w:vMerge w:val="restart"/>
          </w:tcPr>
          <w:p w14:paraId="0A5ABB07" w14:textId="77777777" w:rsidR="0053565C" w:rsidRDefault="0053565C" w:rsidP="0053565C">
            <w:r>
              <w:t>13 March</w:t>
            </w:r>
          </w:p>
        </w:tc>
        <w:tc>
          <w:tcPr>
            <w:tcW w:w="2827" w:type="dxa"/>
          </w:tcPr>
          <w:p w14:paraId="55C5B04B" w14:textId="77777777" w:rsidR="0053565C" w:rsidRDefault="0053565C" w:rsidP="00985F88">
            <w:r>
              <w:t>MoLHSA and ECHO Institute update and planning meeting</w:t>
            </w:r>
          </w:p>
        </w:tc>
        <w:tc>
          <w:tcPr>
            <w:tcW w:w="0" w:type="auto"/>
          </w:tcPr>
          <w:p w14:paraId="1C09024B" w14:textId="77777777" w:rsidR="0053565C" w:rsidRDefault="0053565C" w:rsidP="00985F88">
            <w:r>
              <w:t xml:space="preserve">Provide Minister </w:t>
            </w:r>
            <w:r w:rsidR="008834E8">
              <w:t xml:space="preserve">and Deputy Minister </w:t>
            </w:r>
            <w:r>
              <w:t>an update of Project ECHO Hub progress and to discuss strategies and opportunities for Project ECHO to support decentralization of treatment</w:t>
            </w:r>
          </w:p>
        </w:tc>
      </w:tr>
      <w:tr w:rsidR="0053565C" w14:paraId="404EF26F" w14:textId="77777777" w:rsidTr="0053565C">
        <w:trPr>
          <w:trHeight w:val="288"/>
        </w:trPr>
        <w:tc>
          <w:tcPr>
            <w:tcW w:w="1075" w:type="dxa"/>
            <w:vMerge/>
          </w:tcPr>
          <w:p w14:paraId="28F5E226" w14:textId="77777777" w:rsidR="0053565C" w:rsidRDefault="0053565C" w:rsidP="00985F88"/>
        </w:tc>
        <w:tc>
          <w:tcPr>
            <w:tcW w:w="2827" w:type="dxa"/>
          </w:tcPr>
          <w:p w14:paraId="7BF1820D" w14:textId="77777777" w:rsidR="0053565C" w:rsidRDefault="0053565C" w:rsidP="00985F88">
            <w:r>
              <w:t>Review of Mrchevelli/CDC Joint projects</w:t>
            </w:r>
          </w:p>
        </w:tc>
        <w:tc>
          <w:tcPr>
            <w:tcW w:w="0" w:type="auto"/>
          </w:tcPr>
          <w:p w14:paraId="7B171A0A" w14:textId="77777777" w:rsidR="0053565C" w:rsidRDefault="0053565C" w:rsidP="00985F88">
            <w:r>
              <w:t xml:space="preserve">CDC/LIFER-funded Project Review: </w:t>
            </w:r>
            <w:r>
              <w:rPr>
                <w:rFonts w:ascii="Calibri" w:hAnsi="Calibri"/>
                <w:color w:val="000000"/>
              </w:rPr>
              <w:t>Simplification of pretreatment diagnostic evaluation a</w:t>
            </w:r>
            <w:r w:rsidR="008834E8">
              <w:rPr>
                <w:rFonts w:ascii="Calibri" w:hAnsi="Calibri"/>
                <w:color w:val="000000"/>
              </w:rPr>
              <w:t xml:space="preserve">nd on-treatment monitoring </w:t>
            </w:r>
            <w:r>
              <w:rPr>
                <w:rFonts w:ascii="Calibri" w:hAnsi="Calibri"/>
                <w:color w:val="000000"/>
              </w:rPr>
              <w:t>procedures within HCV elimination project</w:t>
            </w:r>
          </w:p>
        </w:tc>
      </w:tr>
      <w:tr w:rsidR="0053565C" w14:paraId="5227E390" w14:textId="77777777" w:rsidTr="0053565C">
        <w:trPr>
          <w:trHeight w:val="288"/>
        </w:trPr>
        <w:tc>
          <w:tcPr>
            <w:tcW w:w="1075" w:type="dxa"/>
            <w:vMerge/>
          </w:tcPr>
          <w:p w14:paraId="2FB76F75" w14:textId="77777777" w:rsidR="0053565C" w:rsidRDefault="0053565C" w:rsidP="00985F88"/>
        </w:tc>
        <w:tc>
          <w:tcPr>
            <w:tcW w:w="2827" w:type="dxa"/>
          </w:tcPr>
          <w:p w14:paraId="2B3B9AE5" w14:textId="77777777" w:rsidR="0053565C" w:rsidRDefault="0053565C" w:rsidP="00985F88">
            <w:r>
              <w:t>Scientific committee</w:t>
            </w:r>
          </w:p>
        </w:tc>
        <w:tc>
          <w:tcPr>
            <w:tcW w:w="0" w:type="auto"/>
          </w:tcPr>
          <w:p w14:paraId="28B2104B" w14:textId="77777777" w:rsidR="0053565C" w:rsidRDefault="0053565C" w:rsidP="00985F88">
            <w:r>
              <w:t>To review, discuss and update progress on studies conducted within the Georgia HCV Elimination project</w:t>
            </w:r>
          </w:p>
        </w:tc>
      </w:tr>
      <w:tr w:rsidR="0053565C" w14:paraId="071A4752" w14:textId="77777777" w:rsidTr="0053565C">
        <w:trPr>
          <w:trHeight w:val="288"/>
        </w:trPr>
        <w:tc>
          <w:tcPr>
            <w:tcW w:w="1075" w:type="dxa"/>
            <w:vMerge w:val="restart"/>
          </w:tcPr>
          <w:p w14:paraId="5F51EEBE" w14:textId="77777777" w:rsidR="0053565C" w:rsidRDefault="0053565C" w:rsidP="0053565C">
            <w:r>
              <w:t>14 March</w:t>
            </w:r>
          </w:p>
        </w:tc>
        <w:tc>
          <w:tcPr>
            <w:tcW w:w="2827" w:type="dxa"/>
          </w:tcPr>
          <w:p w14:paraId="6540CA49" w14:textId="77777777" w:rsidR="0053565C" w:rsidRDefault="0053565C" w:rsidP="00985F88">
            <w:r>
              <w:t>Project ECHO Hub meeting – Neolab</w:t>
            </w:r>
          </w:p>
        </w:tc>
        <w:tc>
          <w:tcPr>
            <w:tcW w:w="0" w:type="auto"/>
          </w:tcPr>
          <w:p w14:paraId="019D3581" w14:textId="77777777" w:rsidR="0053565C" w:rsidRDefault="0053565C" w:rsidP="00985F88">
            <w:r>
              <w:t>Discuss Project ECHO hub needs and strategies for Project ECHO to support decentralization of treatment</w:t>
            </w:r>
          </w:p>
        </w:tc>
      </w:tr>
      <w:tr w:rsidR="0053565C" w14:paraId="6AEDF6FA" w14:textId="77777777" w:rsidTr="0053565C">
        <w:trPr>
          <w:trHeight w:val="288"/>
        </w:trPr>
        <w:tc>
          <w:tcPr>
            <w:tcW w:w="1075" w:type="dxa"/>
            <w:vMerge/>
          </w:tcPr>
          <w:p w14:paraId="162EC3C6" w14:textId="77777777" w:rsidR="0053565C" w:rsidRDefault="0053565C" w:rsidP="00985F88"/>
        </w:tc>
        <w:tc>
          <w:tcPr>
            <w:tcW w:w="2827" w:type="dxa"/>
          </w:tcPr>
          <w:p w14:paraId="1B193DA3" w14:textId="77777777" w:rsidR="0053565C" w:rsidRDefault="0053565C" w:rsidP="00985F88">
            <w:r>
              <w:t>Project ECHO Hub Dinner meeting – Medical Center Mrcheveli</w:t>
            </w:r>
          </w:p>
        </w:tc>
        <w:tc>
          <w:tcPr>
            <w:tcW w:w="0" w:type="auto"/>
          </w:tcPr>
          <w:p w14:paraId="325E68F9" w14:textId="77777777" w:rsidR="0053565C" w:rsidRDefault="0053565C" w:rsidP="00985F88">
            <w:r>
              <w:t>Discuss Project ECHO hub needs and strategies for Project ECHO to support decentralization of treatment</w:t>
            </w:r>
          </w:p>
        </w:tc>
      </w:tr>
    </w:tbl>
    <w:p w14:paraId="4628C733" w14:textId="77777777" w:rsidR="00092C88" w:rsidRDefault="00092C88" w:rsidP="00092C88">
      <w:r>
        <w:tab/>
      </w:r>
    </w:p>
    <w:p w14:paraId="256EC0D4" w14:textId="77777777" w:rsidR="00092C88" w:rsidRDefault="00092C88" w:rsidP="00092C88">
      <w:r>
        <w:t xml:space="preserve">The ECHO Institute recorded workshop and meeting summary notes for each activity and compiled a list of recommendations for your review and consideration. Each recommendation, below, includes any relevant discussion from each activity in </w:t>
      </w:r>
      <w:r>
        <w:fldChar w:fldCharType="begin"/>
      </w:r>
      <w:r>
        <w:instrText xml:space="preserve"> REF _Ref509496784 \h </w:instrText>
      </w:r>
      <w:r>
        <w:fldChar w:fldCharType="separate"/>
      </w:r>
      <w:r>
        <w:t xml:space="preserve">Table </w:t>
      </w:r>
      <w:r>
        <w:rPr>
          <w:noProof/>
        </w:rPr>
        <w:t>1</w:t>
      </w:r>
      <w:r>
        <w:t xml:space="preserve"> - ECHO Institute Workshops and Planning Meetings Summary, Spring 2018</w:t>
      </w:r>
      <w:r>
        <w:fldChar w:fldCharType="end"/>
      </w:r>
      <w:r>
        <w:t xml:space="preserve"> </w:t>
      </w:r>
      <w:r w:rsidR="0076544D">
        <w:t>or associated justification.</w:t>
      </w:r>
    </w:p>
    <w:p w14:paraId="24E83B91" w14:textId="77777777" w:rsidR="00AC4F09" w:rsidRPr="001730F8" w:rsidRDefault="00AC4F09" w:rsidP="001730F8">
      <w:pPr>
        <w:pStyle w:val="Heading2"/>
      </w:pPr>
      <w:r w:rsidRPr="001730F8">
        <w:t>Recommendations</w:t>
      </w:r>
    </w:p>
    <w:p w14:paraId="7C41E624" w14:textId="77777777" w:rsidR="00E86EBC" w:rsidRDefault="008A7EE9" w:rsidP="00E86EBC">
      <w:pPr>
        <w:pStyle w:val="ListParagraph"/>
        <w:numPr>
          <w:ilvl w:val="1"/>
          <w:numId w:val="3"/>
        </w:numPr>
      </w:pPr>
      <w:r w:rsidRPr="001730F8">
        <w:rPr>
          <w:b/>
        </w:rPr>
        <w:t>Recommendation One:</w:t>
      </w:r>
      <w:r>
        <w:t xml:space="preserve"> </w:t>
      </w:r>
      <w:r w:rsidR="00E86EBC">
        <w:t>Develop a coordinated decentralization plan detailing an incremental rollout of treatment to the regions outside Tbilisi.</w:t>
      </w:r>
    </w:p>
    <w:p w14:paraId="0726E353" w14:textId="77777777" w:rsidR="00E86EBC" w:rsidRDefault="00E86EBC" w:rsidP="00E86EBC">
      <w:pPr>
        <w:pStyle w:val="ListParagraph"/>
        <w:ind w:left="1080"/>
        <w:rPr>
          <w:b/>
        </w:rPr>
      </w:pPr>
    </w:p>
    <w:p w14:paraId="79EB9E85" w14:textId="77777777" w:rsidR="00213E9E" w:rsidRDefault="00E86EBC" w:rsidP="00213E9E">
      <w:pPr>
        <w:pStyle w:val="ListParagraph"/>
        <w:ind w:left="1080"/>
      </w:pPr>
      <w:r>
        <w:lastRenderedPageBreak/>
        <w:t xml:space="preserve">The primary discussion during the 5th National Hepatitis C Elimination Workshop focused on the need to decentralize screening and treatment opportunities outside of Tbilisi and other urban </w:t>
      </w:r>
      <w:r w:rsidR="00C92879">
        <w:t>settings</w:t>
      </w:r>
      <w:r>
        <w:t xml:space="preserve"> in Georgia. Project ECHO has </w:t>
      </w:r>
      <w:r w:rsidR="008834E8">
        <w:t xml:space="preserve">over 15 years of </w:t>
      </w:r>
      <w:r>
        <w:t xml:space="preserve">experience and expertise training primary care providers and their teams to integrate hepatitis C screening, treatment and care management within their general practice settings. </w:t>
      </w:r>
      <w:r w:rsidR="008834E8">
        <w:t xml:space="preserve">Use of the ECHO model for training </w:t>
      </w:r>
      <w:r w:rsidR="00213E9E">
        <w:t>provid</w:t>
      </w:r>
      <w:r w:rsidR="008834E8">
        <w:t>s</w:t>
      </w:r>
      <w:r w:rsidR="00213E9E">
        <w:t xml:space="preserve">e primary care providers with: </w:t>
      </w:r>
    </w:p>
    <w:p w14:paraId="5F2D5D6F" w14:textId="77777777" w:rsidR="00213E9E" w:rsidRDefault="00213E9E" w:rsidP="00213E9E">
      <w:pPr>
        <w:pStyle w:val="ListParagraph"/>
        <w:numPr>
          <w:ilvl w:val="2"/>
          <w:numId w:val="3"/>
        </w:numPr>
      </w:pPr>
      <w:r>
        <w:t>Frequent mentorship by a specialist;</w:t>
      </w:r>
    </w:p>
    <w:p w14:paraId="6A6654BF" w14:textId="77777777" w:rsidR="00213E9E" w:rsidRDefault="00213E9E" w:rsidP="00213E9E">
      <w:pPr>
        <w:pStyle w:val="ListParagraph"/>
        <w:numPr>
          <w:ilvl w:val="2"/>
          <w:numId w:val="3"/>
        </w:numPr>
      </w:pPr>
      <w:r>
        <w:t>Case-based learning to master complexity;</w:t>
      </w:r>
      <w:r w:rsidR="00C92879">
        <w:t xml:space="preserve"> and</w:t>
      </w:r>
    </w:p>
    <w:p w14:paraId="72CE1307" w14:textId="77777777" w:rsidR="00213E9E" w:rsidRDefault="00213E9E" w:rsidP="00213E9E">
      <w:pPr>
        <w:pStyle w:val="ListParagraph"/>
        <w:numPr>
          <w:ilvl w:val="2"/>
          <w:numId w:val="3"/>
        </w:numPr>
      </w:pPr>
      <w:r>
        <w:t>Clinical guidelines to establish best practices and reduce variation in care;</w:t>
      </w:r>
    </w:p>
    <w:p w14:paraId="66BCE61B" w14:textId="77777777" w:rsidR="00213E9E" w:rsidRDefault="00213E9E" w:rsidP="00E86EBC">
      <w:pPr>
        <w:pStyle w:val="ListParagraph"/>
        <w:ind w:left="1080"/>
      </w:pPr>
    </w:p>
    <w:p w14:paraId="77D48FAB" w14:textId="77777777" w:rsidR="00E86EBC" w:rsidRDefault="00E86EBC" w:rsidP="00213E9E">
      <w:pPr>
        <w:pStyle w:val="ListParagraph"/>
        <w:ind w:left="1080"/>
      </w:pPr>
      <w:r>
        <w:t>It is ideal that Project ECHO be a major contributor to the development and mentorship of the Georgia HCV Elimination Project’s Decentralization Project.</w:t>
      </w:r>
      <w:r w:rsidR="00213E9E">
        <w:t xml:space="preserve"> Project ECHO</w:t>
      </w:r>
      <w:r w:rsidR="00C92879">
        <w:t xml:space="preserve"> is motivated to help support</w:t>
      </w:r>
      <w:r w:rsidR="00213E9E">
        <w:t xml:space="preserve"> the success of this decentralization project and awaits guidance from the MoLHSA to determine how Project ECHO can</w:t>
      </w:r>
      <w:r w:rsidR="00C92879">
        <w:t xml:space="preserve"> best</w:t>
      </w:r>
      <w:r w:rsidR="00213E9E">
        <w:t xml:space="preserve"> support this process.</w:t>
      </w:r>
    </w:p>
    <w:p w14:paraId="3098889C" w14:textId="77777777" w:rsidR="00213E9E" w:rsidRDefault="00213E9E" w:rsidP="00213E9E">
      <w:pPr>
        <w:pStyle w:val="ListParagraph"/>
        <w:ind w:left="1080"/>
      </w:pPr>
    </w:p>
    <w:p w14:paraId="66BD9B51" w14:textId="77777777" w:rsidR="00213E9E" w:rsidRDefault="00B20427" w:rsidP="00213E9E">
      <w:pPr>
        <w:pStyle w:val="ListParagraph"/>
        <w:numPr>
          <w:ilvl w:val="1"/>
          <w:numId w:val="3"/>
        </w:numPr>
      </w:pPr>
      <w:r w:rsidRPr="001730F8">
        <w:rPr>
          <w:b/>
        </w:rPr>
        <w:t>Recommendation Two:</w:t>
      </w:r>
      <w:r>
        <w:t xml:space="preserve"> </w:t>
      </w:r>
      <w:r w:rsidR="00DA6534">
        <w:t xml:space="preserve">Require that all approved HCV treatment providers are connected to an existing hub for ongoing education and mentorship. </w:t>
      </w:r>
    </w:p>
    <w:p w14:paraId="12FC59AE" w14:textId="77777777" w:rsidR="00213E9E" w:rsidRDefault="00213E9E" w:rsidP="00213E9E">
      <w:pPr>
        <w:pStyle w:val="ListParagraph"/>
        <w:ind w:left="1080"/>
        <w:rPr>
          <w:b/>
        </w:rPr>
      </w:pPr>
    </w:p>
    <w:p w14:paraId="76092739" w14:textId="77777777" w:rsidR="00213E9E" w:rsidRDefault="00213E9E" w:rsidP="00213E9E">
      <w:pPr>
        <w:pStyle w:val="ListParagraph"/>
        <w:ind w:left="1080"/>
      </w:pPr>
      <w:r>
        <w:lastRenderedPageBreak/>
        <w:t>Four ECHO Institute-trained Project ECHO hubs exist in Georgia. These hubs have the training to facilitate a teleECHO clinic</w:t>
      </w:r>
      <w:r w:rsidR="00C92879">
        <w:t>,</w:t>
      </w:r>
      <w:r>
        <w:t xml:space="preserve"> independently</w:t>
      </w:r>
      <w:r w:rsidR="00C92879">
        <w:t xml:space="preserve">. </w:t>
      </w:r>
      <w:r w:rsidR="00DA6534">
        <w:t>Each existing hub can provide mentorship and training to at least 25 spokes. The existing hubs are critical for the</w:t>
      </w:r>
      <w:r w:rsidR="00C92879">
        <w:t xml:space="preserve"> </w:t>
      </w:r>
      <w:r>
        <w:t>rapid expansion of treatment sites in the Georgia HCV Elimination Pro</w:t>
      </w:r>
      <w:r w:rsidR="00DA6534">
        <w:t xml:space="preserve">gram.  These hubs can also serve as referral sites for patients who are too complicated to be treated at the spoke site. </w:t>
      </w:r>
      <w:r w:rsidR="00C92879">
        <w:t xml:space="preserve"> </w:t>
      </w:r>
    </w:p>
    <w:p w14:paraId="5832ACB1" w14:textId="77777777" w:rsidR="00C92879" w:rsidRDefault="00C92879" w:rsidP="00213E9E">
      <w:pPr>
        <w:pStyle w:val="ListParagraph"/>
        <w:ind w:left="1080"/>
      </w:pPr>
    </w:p>
    <w:p w14:paraId="2B17ED3A" w14:textId="77777777" w:rsidR="00C92879" w:rsidRDefault="001F66DB" w:rsidP="00C92879">
      <w:pPr>
        <w:pStyle w:val="ListParagraph"/>
        <w:ind w:left="1080"/>
      </w:pPr>
      <w:r>
        <w:t xml:space="preserve">One of the greatest barriers to implement a decentralization plan was the concern expressed by specialists that primary care providers lack the knowledge and skill to safely and effectively treat </w:t>
      </w:r>
      <w:r w:rsidR="00DA6534">
        <w:t>HCV</w:t>
      </w:r>
      <w:r>
        <w:t>. The ECHO model is a way to create a formal mentorship process to help primary care providers gain knowledge, skills and self-efficacy. It is our belief that all treatment providers (new and existing) should be linked to a Project ECHO hub so the men</w:t>
      </w:r>
      <w:r w:rsidR="00C92879">
        <w:t xml:space="preserve">torship process is established. </w:t>
      </w:r>
    </w:p>
    <w:p w14:paraId="4FF48543" w14:textId="77777777" w:rsidR="001F66DB" w:rsidRPr="00213E9E" w:rsidRDefault="001F66DB" w:rsidP="00213E9E">
      <w:pPr>
        <w:pStyle w:val="ListParagraph"/>
        <w:ind w:left="1080"/>
      </w:pPr>
    </w:p>
    <w:p w14:paraId="72A94835" w14:textId="77777777" w:rsidR="001F66DB" w:rsidRDefault="001F66DB" w:rsidP="00E86EBC">
      <w:pPr>
        <w:pStyle w:val="ListParagraph"/>
        <w:numPr>
          <w:ilvl w:val="1"/>
          <w:numId w:val="3"/>
        </w:numPr>
      </w:pPr>
      <w:r>
        <w:rPr>
          <w:b/>
        </w:rPr>
        <w:t>Recommendat</w:t>
      </w:r>
      <w:r w:rsidR="00FF287B">
        <w:rPr>
          <w:b/>
        </w:rPr>
        <w:t>ion T</w:t>
      </w:r>
      <w:r>
        <w:rPr>
          <w:b/>
        </w:rPr>
        <w:t xml:space="preserve">hree: </w:t>
      </w:r>
      <w:r>
        <w:t>Increase the frequency of teleECHO clinics and ensure each session is held at a different time</w:t>
      </w:r>
      <w:r w:rsidR="00214E4E">
        <w:t xml:space="preserve"> during the week</w:t>
      </w:r>
      <w:r>
        <w:t xml:space="preserve">. </w:t>
      </w:r>
    </w:p>
    <w:p w14:paraId="63441688" w14:textId="77777777" w:rsidR="001F66DB" w:rsidRDefault="001F66DB" w:rsidP="001F66DB">
      <w:pPr>
        <w:pStyle w:val="ListParagraph"/>
        <w:ind w:left="1080"/>
        <w:rPr>
          <w:b/>
        </w:rPr>
      </w:pPr>
    </w:p>
    <w:p w14:paraId="46215438" w14:textId="7E1F88B0" w:rsidR="00C01751" w:rsidRDefault="001F66DB" w:rsidP="009432B0">
      <w:pPr>
        <w:pStyle w:val="ListParagraph"/>
        <w:ind w:left="1080"/>
      </w:pPr>
      <w:r>
        <w:t>Currently, the four Project ECHO hubs have</w:t>
      </w:r>
      <w:r w:rsidR="00C92879">
        <w:t xml:space="preserve"> combined efforts to co-facilitate</w:t>
      </w:r>
      <w:r>
        <w:t xml:space="preserve"> </w:t>
      </w:r>
      <w:r w:rsidR="00C92879">
        <w:t>two Project ECHO hubs. Each hub</w:t>
      </w:r>
      <w:r w:rsidR="00F40474">
        <w:t>, on average,</w:t>
      </w:r>
      <w:r>
        <w:t xml:space="preserve"> facilitate</w:t>
      </w:r>
      <w:r w:rsidR="00C92879">
        <w:t>s</w:t>
      </w:r>
      <w:r>
        <w:t xml:space="preserve"> </w:t>
      </w:r>
      <w:r w:rsidR="00F40474">
        <w:t>one</w:t>
      </w:r>
      <w:r>
        <w:t xml:space="preserve"> teleECHO clinics </w:t>
      </w:r>
      <w:r w:rsidR="00F40474">
        <w:t>per</w:t>
      </w:r>
      <w:r>
        <w:t xml:space="preserve"> month</w:t>
      </w:r>
      <w:r w:rsidR="00D777DA">
        <w:t>. F</w:t>
      </w:r>
      <w:r>
        <w:t>requent mentorship</w:t>
      </w:r>
      <w:r w:rsidR="00214E4E">
        <w:t xml:space="preserve"> and ongoing </w:t>
      </w:r>
      <w:r w:rsidR="00214E4E">
        <w:lastRenderedPageBreak/>
        <w:t xml:space="preserve">education </w:t>
      </w:r>
      <w:r>
        <w:t>is key to the success of tra</w:t>
      </w:r>
      <w:r w:rsidR="00214E4E">
        <w:t>ining primary care providers</w:t>
      </w:r>
      <w:r>
        <w:t xml:space="preserve">. </w:t>
      </w:r>
      <w:r w:rsidR="00D777DA" w:rsidRPr="00D777DA">
        <w:t xml:space="preserve">We recommend that each Project ECHO hub facilitate a once weekly session for 1 – 2 hours. </w:t>
      </w:r>
      <w:r w:rsidR="00214E4E">
        <w:t xml:space="preserve">We </w:t>
      </w:r>
      <w:r w:rsidR="00D777DA">
        <w:t xml:space="preserve">also </w:t>
      </w:r>
      <w:r w:rsidR="00214E4E">
        <w:t xml:space="preserve">recommend that </w:t>
      </w:r>
      <w:r w:rsidR="00FF287B">
        <w:t>each Project ECHO hub develop a consistent</w:t>
      </w:r>
      <w:r w:rsidR="009432B0">
        <w:t xml:space="preserve"> standing day and time to host their</w:t>
      </w:r>
      <w:r w:rsidR="00FF287B">
        <w:t xml:space="preserve"> teleECHO clinic.</w:t>
      </w:r>
      <w:r w:rsidR="00214E4E">
        <w:t xml:space="preserve"> The day and time should be different for each hub so </w:t>
      </w:r>
      <w:r w:rsidR="00214E4E" w:rsidRPr="00214E4E">
        <w:t>primary care providers can identify the teleECHO clinic which best works for their schedule</w:t>
      </w:r>
      <w:r w:rsidR="00214E4E">
        <w:t xml:space="preserve">.  </w:t>
      </w:r>
    </w:p>
    <w:p w14:paraId="07A8C901" w14:textId="77777777" w:rsidR="009432B0" w:rsidRDefault="009432B0" w:rsidP="009432B0">
      <w:pPr>
        <w:pStyle w:val="ListParagraph"/>
        <w:ind w:left="1080"/>
      </w:pPr>
    </w:p>
    <w:p w14:paraId="7133EAFA" w14:textId="77777777" w:rsidR="001F66DB" w:rsidRPr="001F66DB" w:rsidRDefault="00C01751" w:rsidP="001F66DB">
      <w:pPr>
        <w:pStyle w:val="ListParagraph"/>
        <w:ind w:left="1080"/>
      </w:pPr>
      <w:r>
        <w:t>At the ECHO Institute, weekly teleECHO clinics are held for two hours with approximately 30 spokes. An average of 14 cases are discussed and one, 15 – 20 minute long brief lecture is presented. As new treating providers join the teleECHO clinics, most will present every patient. Over the course of approximately 6 months, providers then begin to treat similar cases independently and, over time, begin to treat more complex patients including those with moderate to advanced liver disease, prior treatment failures and patients with significant comorbidities.</w:t>
      </w:r>
    </w:p>
    <w:p w14:paraId="6FCA5AD3" w14:textId="77777777" w:rsidR="001F66DB" w:rsidRPr="001F66DB" w:rsidRDefault="001F66DB" w:rsidP="001F66DB">
      <w:pPr>
        <w:pStyle w:val="ListParagraph"/>
        <w:ind w:left="1080"/>
      </w:pPr>
    </w:p>
    <w:p w14:paraId="410B40F8" w14:textId="77777777" w:rsidR="00E86EBC" w:rsidRDefault="00FF287B" w:rsidP="00E86EBC">
      <w:pPr>
        <w:pStyle w:val="ListParagraph"/>
        <w:numPr>
          <w:ilvl w:val="1"/>
          <w:numId w:val="3"/>
        </w:numPr>
      </w:pPr>
      <w:r>
        <w:rPr>
          <w:b/>
        </w:rPr>
        <w:t>Recommendation Four</w:t>
      </w:r>
      <w:r w:rsidR="00B20427" w:rsidRPr="001730F8">
        <w:rPr>
          <w:b/>
        </w:rPr>
        <w:t>:</w:t>
      </w:r>
      <w:r w:rsidR="00E86EBC">
        <w:t xml:space="preserve"> Utilize the ECHO model to more efficiently train and provide significant updates related to the country-wide HCV elimination project.  </w:t>
      </w:r>
    </w:p>
    <w:p w14:paraId="67C84EB8" w14:textId="77777777" w:rsidR="00E86EBC" w:rsidRDefault="00E86EBC" w:rsidP="00E86EBC">
      <w:pPr>
        <w:pStyle w:val="ListParagraph"/>
        <w:ind w:left="1080"/>
        <w:rPr>
          <w:b/>
        </w:rPr>
      </w:pPr>
    </w:p>
    <w:p w14:paraId="0A80E6E0" w14:textId="77777777" w:rsidR="00FF287B" w:rsidRDefault="00FF287B" w:rsidP="00E86EBC">
      <w:pPr>
        <w:pStyle w:val="ListParagraph"/>
        <w:ind w:left="1080"/>
      </w:pPr>
      <w:r>
        <w:lastRenderedPageBreak/>
        <w:t>Once all future and existing treatment provider are connected to the teleECHO clinics, these sessions will become an opportunity to provide country-wide updates more expediently. As an example, during the surveillance workshop, a need to establish a more appropriate case definition was discussed which would also require IT changes</w:t>
      </w:r>
      <w:r w:rsidR="00C01751">
        <w:t xml:space="preserve"> in the tracking database</w:t>
      </w:r>
      <w:r>
        <w:t xml:space="preserve">. As this case definition is finalized and </w:t>
      </w:r>
      <w:r w:rsidR="00C01751">
        <w:t xml:space="preserve">the </w:t>
      </w:r>
      <w:r>
        <w:t xml:space="preserve">IT changes </w:t>
      </w:r>
      <w:r w:rsidR="00C01751">
        <w:t>are made</w:t>
      </w:r>
      <w:r>
        <w:t xml:space="preserve">, training </w:t>
      </w:r>
      <w:r w:rsidR="009432B0">
        <w:t xml:space="preserve">of providers </w:t>
      </w:r>
      <w:r>
        <w:t xml:space="preserve">can take place </w:t>
      </w:r>
      <w:r w:rsidR="009432B0">
        <w:t xml:space="preserve">through </w:t>
      </w:r>
      <w:r>
        <w:t>each teleECHO clinic without the need for travel</w:t>
      </w:r>
      <w:r w:rsidR="009432B0">
        <w:t>. The ECHO platform provides a way to disseminate new information rapidly.</w:t>
      </w:r>
      <w:r>
        <w:t xml:space="preserve"> </w:t>
      </w:r>
    </w:p>
    <w:p w14:paraId="0E25E6C9" w14:textId="77777777" w:rsidR="001730F8" w:rsidRDefault="001730F8" w:rsidP="00FF287B">
      <w:pPr>
        <w:pStyle w:val="ListParagraph"/>
        <w:ind w:left="1080"/>
      </w:pPr>
    </w:p>
    <w:p w14:paraId="5F136477" w14:textId="77777777" w:rsidR="001730F8" w:rsidRDefault="00B20427" w:rsidP="001730F8">
      <w:pPr>
        <w:pStyle w:val="ListParagraph"/>
        <w:numPr>
          <w:ilvl w:val="1"/>
          <w:numId w:val="3"/>
        </w:numPr>
      </w:pPr>
      <w:r w:rsidRPr="001730F8">
        <w:rPr>
          <w:b/>
        </w:rPr>
        <w:t xml:space="preserve">Recommendation </w:t>
      </w:r>
      <w:r w:rsidR="00FF287B">
        <w:rPr>
          <w:b/>
        </w:rPr>
        <w:t>Five</w:t>
      </w:r>
      <w:r w:rsidRPr="001730F8">
        <w:rPr>
          <w:b/>
        </w:rPr>
        <w:t>:</w:t>
      </w:r>
      <w:r>
        <w:t xml:space="preserve"> Develop a </w:t>
      </w:r>
      <w:r w:rsidR="00444AB2">
        <w:t>common curriculum</w:t>
      </w:r>
      <w:r>
        <w:t xml:space="preserve"> to be used by all Project ECHO Hubs training new treatment sites.</w:t>
      </w:r>
    </w:p>
    <w:p w14:paraId="060212F5" w14:textId="77777777" w:rsidR="00FF287B" w:rsidRDefault="00FF287B" w:rsidP="00FF287B">
      <w:pPr>
        <w:pStyle w:val="ListParagraph"/>
        <w:ind w:left="1080"/>
      </w:pPr>
    </w:p>
    <w:p w14:paraId="189DFFCC" w14:textId="77777777" w:rsidR="00C01751" w:rsidRDefault="00444AB2" w:rsidP="00FF287B">
      <w:pPr>
        <w:pStyle w:val="ListParagraph"/>
        <w:ind w:left="1080"/>
      </w:pPr>
      <w:r>
        <w:t>We recommend that</w:t>
      </w:r>
      <w:r w:rsidR="00FF287B">
        <w:t xml:space="preserve"> </w:t>
      </w:r>
      <w:r>
        <w:t>a common curriculum</w:t>
      </w:r>
      <w:r w:rsidRPr="00444AB2">
        <w:t xml:space="preserve"> </w:t>
      </w:r>
      <w:r>
        <w:t xml:space="preserve">with </w:t>
      </w:r>
      <w:r w:rsidRPr="00444AB2">
        <w:t>key objectives and materials</w:t>
      </w:r>
      <w:r>
        <w:t xml:space="preserve"> </w:t>
      </w:r>
      <w:r w:rsidR="00FF287B">
        <w:t xml:space="preserve">be </w:t>
      </w:r>
      <w:r>
        <w:t>used to train primary care providers</w:t>
      </w:r>
      <w:r w:rsidR="00FF287B">
        <w:t xml:space="preserve">. </w:t>
      </w:r>
      <w:r w:rsidR="00C01751">
        <w:t xml:space="preserve">It is our understanding that </w:t>
      </w:r>
      <w:r w:rsidR="00B92D1B">
        <w:t xml:space="preserve">initial face-to-face </w:t>
      </w:r>
      <w:r>
        <w:t>training will</w:t>
      </w:r>
      <w:r w:rsidR="00C01751">
        <w:t xml:space="preserve"> occur </w:t>
      </w:r>
      <w:r w:rsidR="00B92D1B">
        <w:t xml:space="preserve">followed by weekly teleECHO clinics. </w:t>
      </w:r>
      <w:r w:rsidR="00C01751">
        <w:t>Face-to-face</w:t>
      </w:r>
      <w:r w:rsidR="00B92D1B">
        <w:t xml:space="preserve"> training takes significant amounts of provider time </w:t>
      </w:r>
      <w:r w:rsidR="00C01751">
        <w:t>and only having one small group of specialist providing the initial training</w:t>
      </w:r>
      <w:r w:rsidR="00B92D1B">
        <w:t xml:space="preserve"> would not be </w:t>
      </w:r>
      <w:r w:rsidR="00C01751">
        <w:t>ideal</w:t>
      </w:r>
      <w:r w:rsidR="00B92D1B">
        <w:t xml:space="preserve"> for a large-scale decentralization plan.</w:t>
      </w:r>
      <w:r w:rsidR="00C01751">
        <w:t xml:space="preserve"> </w:t>
      </w:r>
    </w:p>
    <w:p w14:paraId="006AF0D5" w14:textId="77777777" w:rsidR="00C01751" w:rsidRDefault="00C01751" w:rsidP="00FF287B">
      <w:pPr>
        <w:pStyle w:val="ListParagraph"/>
        <w:ind w:left="1080"/>
      </w:pPr>
    </w:p>
    <w:p w14:paraId="21A5C5F1" w14:textId="77777777" w:rsidR="00C01751" w:rsidRDefault="00C01751" w:rsidP="00FF287B">
      <w:pPr>
        <w:pStyle w:val="ListParagraph"/>
        <w:ind w:left="1080"/>
      </w:pPr>
      <w:r>
        <w:lastRenderedPageBreak/>
        <w:t>It would be most efficient fo</w:t>
      </w:r>
      <w:r w:rsidR="00444AB2">
        <w:t xml:space="preserve">r rapid </w:t>
      </w:r>
      <w:r>
        <w:t>scale</w:t>
      </w:r>
      <w:r w:rsidR="00444AB2">
        <w:t xml:space="preserve"> up</w:t>
      </w:r>
      <w:r>
        <w:t xml:space="preserve"> training of primary care providers to have </w:t>
      </w:r>
      <w:r w:rsidR="00444AB2">
        <w:t>one curriculum</w:t>
      </w:r>
      <w:r w:rsidR="00B92D1B">
        <w:t xml:space="preserve"> be developed by the existing four Project ECHO Hubs, </w:t>
      </w:r>
      <w:r w:rsidR="00444AB2">
        <w:t>with the guidance</w:t>
      </w:r>
      <w:r>
        <w:t xml:space="preserve"> of Project ECHO</w:t>
      </w:r>
      <w:r w:rsidR="00B92D1B">
        <w:t xml:space="preserve"> and approved by the MoLHSA</w:t>
      </w:r>
      <w:r>
        <w:t>,</w:t>
      </w:r>
      <w:r w:rsidR="00B92D1B">
        <w:t xml:space="preserve"> to be utilized by all four Project ECHO hubs. This will allow each Project ECHO hub</w:t>
      </w:r>
      <w:r>
        <w:t xml:space="preserve"> to help contribute to training, establishing and mentoring primary</w:t>
      </w:r>
      <w:r w:rsidR="00B92D1B">
        <w:t xml:space="preserve"> care providers </w:t>
      </w:r>
      <w:r>
        <w:t>and</w:t>
      </w:r>
      <w:r w:rsidR="00B92D1B">
        <w:t xml:space="preserve"> allow for a more </w:t>
      </w:r>
      <w:r w:rsidR="00444AB2">
        <w:t xml:space="preserve">rapid scale up of treatment sites. </w:t>
      </w:r>
    </w:p>
    <w:p w14:paraId="6FA7689E" w14:textId="77777777" w:rsidR="00C01751" w:rsidRDefault="00C01751" w:rsidP="00FF287B">
      <w:pPr>
        <w:pStyle w:val="ListParagraph"/>
        <w:ind w:left="1080"/>
      </w:pPr>
    </w:p>
    <w:p w14:paraId="04657857" w14:textId="77777777" w:rsidR="00B92D1B" w:rsidRDefault="00B92D1B" w:rsidP="00FF287B">
      <w:pPr>
        <w:pStyle w:val="ListParagraph"/>
        <w:ind w:left="1080"/>
      </w:pPr>
      <w:r>
        <w:t xml:space="preserve">Further, </w:t>
      </w:r>
      <w:r w:rsidR="009C2083">
        <w:t xml:space="preserve">a </w:t>
      </w:r>
      <w:r>
        <w:t xml:space="preserve">six-month brief lecture training schedule to be shared during each teleECHO clinic should be developed and delivered simultaneously across each </w:t>
      </w:r>
      <w:r w:rsidR="00C01751">
        <w:t>Project ECHO hub.</w:t>
      </w:r>
      <w:r>
        <w:t xml:space="preserve"> This would allow spokes to connect to any of the teleECHO clinics </w:t>
      </w:r>
      <w:r w:rsidR="00C01751">
        <w:t xml:space="preserve">at a time they are available </w:t>
      </w:r>
      <w:r>
        <w:t xml:space="preserve">and </w:t>
      </w:r>
      <w:r w:rsidR="00C01751">
        <w:t>receive the standard training regardless of the teleECHO clinic they attend each week</w:t>
      </w:r>
      <w:r>
        <w:t>. Project ECHO has a robust repository of brief lectures currently available and accessible by each of the Project ECHO h</w:t>
      </w:r>
      <w:r w:rsidR="00C01751">
        <w:t>ubs that can be modified and translated for this purpose</w:t>
      </w:r>
      <w:r>
        <w:t xml:space="preserve">. </w:t>
      </w:r>
    </w:p>
    <w:p w14:paraId="43C651EF" w14:textId="77777777" w:rsidR="00B92D1B" w:rsidRDefault="00B92D1B" w:rsidP="00FF287B">
      <w:pPr>
        <w:pStyle w:val="ListParagraph"/>
        <w:ind w:left="1080"/>
      </w:pPr>
    </w:p>
    <w:p w14:paraId="2A421DBC" w14:textId="77777777" w:rsidR="00C5376C" w:rsidRDefault="00B92D1B" w:rsidP="00C5376C">
      <w:pPr>
        <w:pStyle w:val="ListParagraph"/>
        <w:ind w:left="1080"/>
      </w:pPr>
      <w:r>
        <w:t xml:space="preserve">Project ECHO would be willing to help facilitate the development of this country-wide primary care provider curricula </w:t>
      </w:r>
      <w:r w:rsidR="00C01751">
        <w:t xml:space="preserve">and the brief lecture </w:t>
      </w:r>
      <w:r>
        <w:t>schedule and has</w:t>
      </w:r>
      <w:r w:rsidR="00C01751">
        <w:t xml:space="preserve"> already</w:t>
      </w:r>
      <w:r>
        <w:t xml:space="preserve"> requested each curricula be sent to Project ECHO for review.</w:t>
      </w:r>
    </w:p>
    <w:p w14:paraId="457B7BF4" w14:textId="77777777" w:rsidR="00C5376C" w:rsidRDefault="00C5376C" w:rsidP="00C5376C">
      <w:pPr>
        <w:pStyle w:val="ListParagraph"/>
        <w:ind w:left="1080"/>
      </w:pPr>
    </w:p>
    <w:p w14:paraId="2D4F247F" w14:textId="77777777" w:rsidR="00C5376C" w:rsidRDefault="00C5376C" w:rsidP="00C5376C">
      <w:pPr>
        <w:pStyle w:val="ListParagraph"/>
        <w:ind w:left="1080"/>
      </w:pPr>
      <w:r>
        <w:lastRenderedPageBreak/>
        <w:t xml:space="preserve">This common curriculum could be modified and enhanced to include more information on substance use disorders and PWID for use in trainings for providers working in harm reduction centers </w:t>
      </w:r>
    </w:p>
    <w:p w14:paraId="5037E258" w14:textId="77777777" w:rsidR="00A9030B" w:rsidRDefault="00A9030B" w:rsidP="00FF287B">
      <w:pPr>
        <w:pStyle w:val="ListParagraph"/>
        <w:ind w:left="1080"/>
      </w:pPr>
    </w:p>
    <w:p w14:paraId="0AF32B61" w14:textId="77777777" w:rsidR="001730F8" w:rsidRDefault="00B20427" w:rsidP="001730F8">
      <w:pPr>
        <w:pStyle w:val="ListParagraph"/>
        <w:numPr>
          <w:ilvl w:val="1"/>
          <w:numId w:val="3"/>
        </w:numPr>
      </w:pPr>
      <w:r w:rsidRPr="001730F8">
        <w:rPr>
          <w:b/>
        </w:rPr>
        <w:t>R</w:t>
      </w:r>
      <w:r w:rsidR="00B92D1B">
        <w:rPr>
          <w:b/>
        </w:rPr>
        <w:t>ecommendation Six</w:t>
      </w:r>
      <w:r w:rsidRPr="001730F8">
        <w:rPr>
          <w:b/>
        </w:rPr>
        <w:t>:</w:t>
      </w:r>
      <w:r>
        <w:t xml:space="preserve"> Engage in a virtual </w:t>
      </w:r>
      <w:r w:rsidR="00526017">
        <w:t xml:space="preserve">learning </w:t>
      </w:r>
      <w:r>
        <w:t xml:space="preserve">collaborative </w:t>
      </w:r>
      <w:r w:rsidR="00526017">
        <w:t>with other HCV elimination project leadership around the world</w:t>
      </w:r>
      <w:r w:rsidR="00FA6F7E">
        <w:t>.</w:t>
      </w:r>
    </w:p>
    <w:p w14:paraId="2DD3E0D0" w14:textId="77777777" w:rsidR="00A9030B" w:rsidRDefault="00A9030B" w:rsidP="00A9030B">
      <w:pPr>
        <w:pStyle w:val="ListParagraph"/>
        <w:ind w:left="1080"/>
        <w:rPr>
          <w:b/>
        </w:rPr>
      </w:pPr>
    </w:p>
    <w:p w14:paraId="3464445C" w14:textId="77777777" w:rsidR="00A9030B" w:rsidRDefault="00A9030B" w:rsidP="009C2083">
      <w:pPr>
        <w:pStyle w:val="ListParagraph"/>
        <w:ind w:left="1080"/>
      </w:pPr>
      <w:r>
        <w:t>Project ECHO utilizes the term “collaborative”</w:t>
      </w:r>
      <w:r w:rsidR="00E05B56">
        <w:t xml:space="preserve"> to connect</w:t>
      </w:r>
      <w:r>
        <w:t xml:space="preserve"> group</w:t>
      </w:r>
      <w:r w:rsidR="006841A2">
        <w:t>s</w:t>
      </w:r>
      <w:r>
        <w:t xml:space="preserve"> of people who are </w:t>
      </w:r>
      <w:r w:rsidR="009C2083">
        <w:t>doing similar work to share experiences and work collectively to solve shared problems and challenges</w:t>
      </w:r>
      <w:r w:rsidR="006841A2">
        <w:t>. Project ECHO is interested in building an international decentralization</w:t>
      </w:r>
      <w:r w:rsidR="00E05B56">
        <w:t xml:space="preserve"> </w:t>
      </w:r>
      <w:r w:rsidR="006841A2">
        <w:t>collaborative aimed at virtually connecting leadership of these programs to share successes and discuss unique challenges for network input. Project ECHO will identify leaders around the globe and coordinate a collaborative meeting with these leaders. It is encouraged that Georgia HCV Elimination leadership, including the minister of health, identify whom within this HCV Elimination Project should participate with this collaborative.</w:t>
      </w:r>
      <w:r w:rsidR="00CA6C8D">
        <w:t xml:space="preserve"> This concept was supported by Minister Sergeenko. </w:t>
      </w:r>
    </w:p>
    <w:p w14:paraId="059F4B20" w14:textId="77777777" w:rsidR="009C2083" w:rsidRPr="00A9030B" w:rsidRDefault="009C2083" w:rsidP="009C2083">
      <w:pPr>
        <w:pStyle w:val="ListParagraph"/>
        <w:ind w:left="1080"/>
      </w:pPr>
    </w:p>
    <w:p w14:paraId="4B11CBF6" w14:textId="77777777" w:rsidR="001730F8" w:rsidRDefault="00C92879" w:rsidP="001730F8">
      <w:pPr>
        <w:pStyle w:val="ListParagraph"/>
        <w:numPr>
          <w:ilvl w:val="1"/>
          <w:numId w:val="3"/>
        </w:numPr>
      </w:pPr>
      <w:r>
        <w:rPr>
          <w:b/>
        </w:rPr>
        <w:t>Recommendation Seven</w:t>
      </w:r>
      <w:r w:rsidR="00B20427" w:rsidRPr="001730F8">
        <w:rPr>
          <w:b/>
        </w:rPr>
        <w:t>:</w:t>
      </w:r>
      <w:r w:rsidR="00B20427">
        <w:t xml:space="preserve"> Assess the effectiveness of the ECHO mo</w:t>
      </w:r>
      <w:r>
        <w:t>del in decentralizing treatment and publish outcomes.</w:t>
      </w:r>
    </w:p>
    <w:p w14:paraId="04CA8532" w14:textId="77777777" w:rsidR="00906336" w:rsidRDefault="00906336" w:rsidP="00906336">
      <w:pPr>
        <w:pStyle w:val="ListParagraph"/>
        <w:ind w:left="1080"/>
        <w:rPr>
          <w:b/>
        </w:rPr>
      </w:pPr>
    </w:p>
    <w:p w14:paraId="6864870F" w14:textId="024C91D5" w:rsidR="00906336" w:rsidRDefault="00CA6C8D" w:rsidP="00C92879">
      <w:pPr>
        <w:pStyle w:val="ListParagraph"/>
        <w:ind w:left="1080"/>
      </w:pPr>
      <w:r>
        <w:t xml:space="preserve">It </w:t>
      </w:r>
      <w:r w:rsidR="00C92879">
        <w:t xml:space="preserve">is essential that once Georgia identifies the best solution towards decentralization of HCV screening and treatment that the outcomes are widely disseminated. Project ECHO would like to help support the coordination of evaluating such </w:t>
      </w:r>
      <w:r w:rsidR="00941A36">
        <w:t>projects</w:t>
      </w:r>
      <w:r w:rsidR="00C92879">
        <w:t xml:space="preserve"> and reporting outcomes. Project ECHO has previously studied the impact of using the ECHO model to train primary care providers and would like to conduct a similar assessment and evaluation in Georgia jointly with leadership of the Georgia HCV Elimination Project. We would be honored to co-evaluate and co-author any findings with your team and the Georgia-based Project ECHO hubs. </w:t>
      </w:r>
    </w:p>
    <w:p w14:paraId="739E379E" w14:textId="77777777" w:rsidR="00C92879" w:rsidRPr="00906336" w:rsidRDefault="00C92879" w:rsidP="00C92879">
      <w:pPr>
        <w:pStyle w:val="ListParagraph"/>
        <w:ind w:left="1080"/>
      </w:pPr>
    </w:p>
    <w:p w14:paraId="17C89B31" w14:textId="77777777" w:rsidR="008A7EE9" w:rsidRDefault="001D212D" w:rsidP="001730F8">
      <w:pPr>
        <w:pStyle w:val="ListParagraph"/>
        <w:numPr>
          <w:ilvl w:val="1"/>
          <w:numId w:val="3"/>
        </w:numPr>
      </w:pPr>
      <w:r w:rsidRPr="001730F8">
        <w:rPr>
          <w:b/>
        </w:rPr>
        <w:t xml:space="preserve">Recommendation </w:t>
      </w:r>
      <w:r w:rsidRPr="00E6639D">
        <w:rPr>
          <w:b/>
        </w:rPr>
        <w:t>Eight: Adjust clinical guidelines to allow for treatment of minors who are at least 12 years</w:t>
      </w:r>
      <w:r w:rsidR="00FE1871" w:rsidRPr="00E6639D">
        <w:rPr>
          <w:b/>
        </w:rPr>
        <w:t xml:space="preserve"> old or minors</w:t>
      </w:r>
      <w:r w:rsidR="00824944" w:rsidRPr="00E6639D">
        <w:rPr>
          <w:b/>
        </w:rPr>
        <w:t xml:space="preserve"> less than 12 years old</w:t>
      </w:r>
      <w:r w:rsidR="00FE1871" w:rsidRPr="00E6639D">
        <w:rPr>
          <w:b/>
        </w:rPr>
        <w:t xml:space="preserve"> </w:t>
      </w:r>
      <w:r w:rsidRPr="00E6639D">
        <w:rPr>
          <w:b/>
        </w:rPr>
        <w:t>who</w:t>
      </w:r>
      <w:r w:rsidR="00FE1871" w:rsidRPr="00E6639D">
        <w:rPr>
          <w:b/>
        </w:rPr>
        <w:t xml:space="preserve"> weigh at least</w:t>
      </w:r>
      <w:r w:rsidRPr="00E6639D">
        <w:rPr>
          <w:b/>
        </w:rPr>
        <w:t xml:space="preserve"> 35kg.</w:t>
      </w:r>
    </w:p>
    <w:p w14:paraId="05F664C5" w14:textId="77777777" w:rsidR="00FE1871" w:rsidRDefault="00FE1871" w:rsidP="00FE1871">
      <w:pPr>
        <w:pStyle w:val="ListParagraph"/>
        <w:ind w:left="1080"/>
        <w:rPr>
          <w:b/>
        </w:rPr>
      </w:pPr>
    </w:p>
    <w:p w14:paraId="5884955C" w14:textId="77777777" w:rsidR="00FE1871" w:rsidRDefault="00FE1871" w:rsidP="00FE1871">
      <w:pPr>
        <w:pStyle w:val="ListParagraph"/>
        <w:ind w:left="1080"/>
      </w:pPr>
      <w:r>
        <w:t>For most parts of the world, children represent a small proportion of the population infected with hepatitis C.</w:t>
      </w:r>
      <w:r w:rsidR="00966A55">
        <w:t xml:space="preserve"> During our meetings with the treatment providers from each of the Georgia-based Project ECHO Hubs, we were informed that</w:t>
      </w:r>
      <w:r>
        <w:t xml:space="preserve"> children have been identified as living with chronic hepatitis C in</w:t>
      </w:r>
      <w:r>
        <w:lastRenderedPageBreak/>
        <w:t xml:space="preserve">fection. It is our understanding that current Georgia </w:t>
      </w:r>
      <w:r w:rsidR="006A1597">
        <w:t>Hepatitis</w:t>
      </w:r>
      <w:r>
        <w:t xml:space="preserve"> C Elimination Treatment guidelines </w:t>
      </w:r>
      <w:r w:rsidR="00966A55">
        <w:t>allow treatment access to people aged 18 and older</w:t>
      </w:r>
      <w:r>
        <w:t>,</w:t>
      </w:r>
      <w:r w:rsidR="00966A55">
        <w:t xml:space="preserve"> with individuals less than 18 years old</w:t>
      </w:r>
      <w:r>
        <w:t xml:space="preserve"> requiring special</w:t>
      </w:r>
      <w:r w:rsidR="00966A55">
        <w:t xml:space="preserve"> consideration for treatment</w:t>
      </w:r>
      <w:r>
        <w:t>.</w:t>
      </w:r>
    </w:p>
    <w:p w14:paraId="7162C24F" w14:textId="77777777" w:rsidR="00FE1871" w:rsidRDefault="00FE1871" w:rsidP="00FE1871">
      <w:pPr>
        <w:pStyle w:val="ListParagraph"/>
        <w:ind w:left="1080"/>
      </w:pPr>
    </w:p>
    <w:p w14:paraId="74C5535F" w14:textId="77777777" w:rsidR="00FE1871" w:rsidRDefault="006A1597" w:rsidP="00FE1871">
      <w:pPr>
        <w:pStyle w:val="ListParagraph"/>
        <w:ind w:left="1080"/>
      </w:pPr>
      <w:r>
        <w:t>In April 2017, the U.S. Foo</w:t>
      </w:r>
      <w:r w:rsidR="00FE1871">
        <w:t xml:space="preserve">d </w:t>
      </w:r>
      <w:r>
        <w:t xml:space="preserve">and </w:t>
      </w:r>
      <w:r w:rsidR="00FE1871">
        <w:t>Drug</w:t>
      </w:r>
      <w:r>
        <w:t xml:space="preserve"> Administration (FDA)</w:t>
      </w:r>
      <w:r w:rsidR="00FE1871">
        <w:t xml:space="preserve"> </w:t>
      </w:r>
      <w:r>
        <w:t>approved the use of Sovaldi® and Harvoni® for chronic hepatitis C treatment for pediatric patients</w:t>
      </w:r>
      <w:r w:rsidR="00E6639D">
        <w:rPr>
          <w:rStyle w:val="FootnoteReference"/>
        </w:rPr>
        <w:footnoteReference w:id="1"/>
      </w:r>
      <w:r>
        <w:t xml:space="preserve">. </w:t>
      </w:r>
      <w:r w:rsidR="009C2083">
        <w:t xml:space="preserve">See below for </w:t>
      </w:r>
      <w:r w:rsidR="009C2083" w:rsidRPr="009C2083">
        <w:t xml:space="preserve">The American Association for the Study of Liver Disease </w:t>
      </w:r>
      <w:r>
        <w:t>(AASLD)</w:t>
      </w:r>
      <w:r w:rsidR="00C5376C">
        <w:t xml:space="preserve"> clinical guideline</w:t>
      </w:r>
      <w:r w:rsidR="00966A55">
        <w:rPr>
          <w:rStyle w:val="FootnoteReference"/>
        </w:rPr>
        <w:footnoteReference w:id="2"/>
      </w:r>
      <w:r w:rsidR="00C5376C">
        <w:t>.</w:t>
      </w:r>
    </w:p>
    <w:p w14:paraId="511C5B52" w14:textId="77777777" w:rsidR="00C5376C" w:rsidRDefault="00C5376C" w:rsidP="00FE1871">
      <w:pPr>
        <w:pStyle w:val="ListParagraph"/>
        <w:ind w:left="1080"/>
      </w:pPr>
    </w:p>
    <w:p w14:paraId="47E843B6" w14:textId="77777777" w:rsidR="00C5376C" w:rsidRDefault="00C5376C" w:rsidP="00FE1871">
      <w:pPr>
        <w:pStyle w:val="ListParagraph"/>
        <w:ind w:left="1080"/>
      </w:pPr>
      <w:r w:rsidRPr="00C5376C">
        <w:t xml:space="preserve">Although advanced liver disease or hepatocellular carcinoma is rarely found in </w:t>
      </w:r>
      <w:r>
        <w:t xml:space="preserve">children </w:t>
      </w:r>
      <w:r w:rsidRPr="00C5376C">
        <w:t>patients with hepatitis C, treating minors is essential for halting liver disease progression and reducing mortalit</w:t>
      </w:r>
      <w:r>
        <w:t>y and morbidity long-term</w:t>
      </w:r>
      <w:r w:rsidRPr="00C5376C">
        <w:t xml:space="preserve">. We highly recommend that current treatment guidelines for the Georgia HCV </w:t>
      </w:r>
      <w:r w:rsidRPr="00C5376C">
        <w:lastRenderedPageBreak/>
        <w:t>elimination project include the treatment of minors who are at least 12 years old or who weigh at least 35kg.</w:t>
      </w:r>
    </w:p>
    <w:p w14:paraId="347A7EAD" w14:textId="77777777" w:rsidR="006A1597" w:rsidRDefault="006A1597" w:rsidP="00FE1871">
      <w:pPr>
        <w:pStyle w:val="ListParagraph"/>
        <w:ind w:left="1080"/>
      </w:pPr>
    </w:p>
    <w:tbl>
      <w:tblPr>
        <w:tblStyle w:val="TableGrid"/>
        <w:tblW w:w="4425" w:type="pct"/>
        <w:tblInd w:w="1075" w:type="dxa"/>
        <w:tblLook w:val="04A0" w:firstRow="1" w:lastRow="0" w:firstColumn="1" w:lastColumn="0" w:noHBand="0" w:noVBand="1"/>
      </w:tblPr>
      <w:tblGrid>
        <w:gridCol w:w="4535"/>
        <w:gridCol w:w="1870"/>
        <w:gridCol w:w="1870"/>
      </w:tblGrid>
      <w:tr w:rsidR="006A1597" w14:paraId="65243B45" w14:textId="77777777" w:rsidTr="00C900B0">
        <w:trPr>
          <w:trHeight w:val="285"/>
        </w:trPr>
        <w:tc>
          <w:tcPr>
            <w:tcW w:w="5000" w:type="pct"/>
            <w:gridSpan w:val="3"/>
            <w:shd w:val="clear" w:color="auto" w:fill="000000" w:themeFill="text1"/>
            <w:hideMark/>
          </w:tcPr>
          <w:p w14:paraId="5A5A795B" w14:textId="77777777" w:rsidR="006A1597" w:rsidRPr="006A1597" w:rsidRDefault="006A1597" w:rsidP="006A1597">
            <w:pPr>
              <w:pStyle w:val="Heading4"/>
              <w:outlineLvl w:val="3"/>
              <w:rPr>
                <w:rFonts w:asciiTheme="minorHAnsi" w:hAnsiTheme="minorHAnsi" w:cstheme="minorHAnsi"/>
                <w:color w:val="auto"/>
                <w:sz w:val="18"/>
              </w:rPr>
            </w:pPr>
            <w:r w:rsidRPr="006A1597">
              <w:rPr>
                <w:rFonts w:asciiTheme="minorHAnsi" w:hAnsiTheme="minorHAnsi" w:cstheme="minorHAnsi"/>
                <w:color w:val="auto"/>
                <w:sz w:val="18"/>
              </w:rPr>
              <w:t xml:space="preserve">Recommended regimens listed by evidence level and alphabetically for: </w:t>
            </w:r>
          </w:p>
          <w:p w14:paraId="5BEE6EF9" w14:textId="77777777" w:rsidR="006A1597" w:rsidRPr="006A1597" w:rsidRDefault="006A1597" w:rsidP="00966A55">
            <w:pPr>
              <w:pStyle w:val="Heading2"/>
              <w:numPr>
                <w:ilvl w:val="0"/>
                <w:numId w:val="0"/>
              </w:numPr>
              <w:ind w:hanging="20"/>
              <w:outlineLvl w:val="1"/>
              <w:rPr>
                <w:rFonts w:asciiTheme="minorHAnsi" w:hAnsiTheme="minorHAnsi" w:cstheme="minorHAnsi"/>
              </w:rPr>
            </w:pPr>
            <w:r w:rsidRPr="006A1597">
              <w:rPr>
                <w:rFonts w:asciiTheme="minorHAnsi" w:hAnsiTheme="minorHAnsi" w:cstheme="minorHAnsi"/>
                <w:sz w:val="22"/>
              </w:rPr>
              <w:t xml:space="preserve">Adolescents ≥12 Years Old or Weighing ≥35 kg, Without Cirrhosis or With </w:t>
            </w:r>
            <w:r w:rsidR="00E6639D">
              <w:rPr>
                <w:rFonts w:asciiTheme="minorHAnsi" w:hAnsiTheme="minorHAnsi" w:cstheme="minorHAnsi"/>
                <w:sz w:val="22"/>
              </w:rPr>
              <w:t xml:space="preserve">Compensated </w:t>
            </w:r>
            <w:r w:rsidRPr="006A1597">
              <w:rPr>
                <w:rFonts w:asciiTheme="minorHAnsi" w:hAnsiTheme="minorHAnsi" w:cstheme="minorHAnsi"/>
                <w:sz w:val="22"/>
              </w:rPr>
              <w:t>Cirrhosis</w:t>
            </w:r>
          </w:p>
        </w:tc>
      </w:tr>
      <w:tr w:rsidR="006A1597" w14:paraId="5D801D95" w14:textId="77777777" w:rsidTr="00C900B0">
        <w:trPr>
          <w:trHeight w:val="445"/>
        </w:trPr>
        <w:tc>
          <w:tcPr>
            <w:tcW w:w="2740" w:type="pct"/>
            <w:shd w:val="clear" w:color="auto" w:fill="D9D9D9" w:themeFill="background1" w:themeFillShade="D9"/>
            <w:vAlign w:val="center"/>
            <w:hideMark/>
          </w:tcPr>
          <w:p w14:paraId="3A02A6B9" w14:textId="77777777" w:rsidR="006A1597" w:rsidRPr="006A1597" w:rsidRDefault="006A1597" w:rsidP="006A1597">
            <w:pPr>
              <w:jc w:val="center"/>
              <w:rPr>
                <w:rFonts w:cstheme="minorHAnsi"/>
                <w:b/>
              </w:rPr>
            </w:pPr>
            <w:r w:rsidRPr="006A1597">
              <w:rPr>
                <w:rFonts w:cstheme="minorHAnsi"/>
                <w:b/>
              </w:rPr>
              <w:t>RECOMMENDED</w:t>
            </w:r>
          </w:p>
        </w:tc>
        <w:tc>
          <w:tcPr>
            <w:tcW w:w="1130" w:type="pct"/>
            <w:shd w:val="clear" w:color="auto" w:fill="D9D9D9" w:themeFill="background1" w:themeFillShade="D9"/>
            <w:vAlign w:val="center"/>
            <w:hideMark/>
          </w:tcPr>
          <w:p w14:paraId="12C2ED30" w14:textId="77777777" w:rsidR="006A1597" w:rsidRPr="006A1597" w:rsidRDefault="006A1597" w:rsidP="006A1597">
            <w:pPr>
              <w:jc w:val="center"/>
              <w:rPr>
                <w:rFonts w:cstheme="minorHAnsi"/>
                <w:b/>
              </w:rPr>
            </w:pPr>
            <w:r w:rsidRPr="006A1597">
              <w:rPr>
                <w:rFonts w:cstheme="minorHAnsi"/>
                <w:b/>
              </w:rPr>
              <w:t>DURATION</w:t>
            </w:r>
          </w:p>
        </w:tc>
        <w:tc>
          <w:tcPr>
            <w:tcW w:w="1130" w:type="pct"/>
            <w:shd w:val="clear" w:color="auto" w:fill="D9D9D9" w:themeFill="background1" w:themeFillShade="D9"/>
            <w:vAlign w:val="center"/>
            <w:hideMark/>
          </w:tcPr>
          <w:p w14:paraId="5B120614" w14:textId="77777777" w:rsidR="006A1597" w:rsidRPr="006A1597" w:rsidRDefault="006A1597" w:rsidP="006A1597">
            <w:pPr>
              <w:jc w:val="center"/>
              <w:rPr>
                <w:rFonts w:cstheme="minorHAnsi"/>
                <w:b/>
              </w:rPr>
            </w:pPr>
            <w:r w:rsidRPr="006A1597">
              <w:rPr>
                <w:rFonts w:cstheme="minorHAnsi"/>
                <w:b/>
              </w:rPr>
              <w:t>RATING</w:t>
            </w:r>
          </w:p>
        </w:tc>
      </w:tr>
      <w:tr w:rsidR="006A1597" w14:paraId="36125B71" w14:textId="77777777" w:rsidTr="00C900B0">
        <w:trPr>
          <w:trHeight w:val="1277"/>
        </w:trPr>
        <w:tc>
          <w:tcPr>
            <w:tcW w:w="2740" w:type="pct"/>
            <w:hideMark/>
          </w:tcPr>
          <w:p w14:paraId="16FBC1AF" w14:textId="77777777" w:rsidR="006A1597" w:rsidRPr="006A1597" w:rsidRDefault="006A1597">
            <w:pPr>
              <w:rPr>
                <w:rFonts w:cstheme="minorHAnsi"/>
              </w:rPr>
            </w:pPr>
            <w:r w:rsidRPr="006A1597">
              <w:rPr>
                <w:rFonts w:cstheme="minorHAnsi"/>
              </w:rPr>
              <w:t xml:space="preserve">Daily fixed-dose combination of </w:t>
            </w:r>
            <w:bookmarkStart w:id="1" w:name="_GoBack"/>
            <w:r w:rsidRPr="006A1597">
              <w:rPr>
                <w:rFonts w:cstheme="minorHAnsi"/>
              </w:rPr>
              <w:t>ledipasvir</w:t>
            </w:r>
            <w:bookmarkEnd w:id="1"/>
            <w:r w:rsidRPr="006A1597">
              <w:rPr>
                <w:rFonts w:cstheme="minorHAnsi"/>
              </w:rPr>
              <w:t xml:space="preserve"> (90 mg)/sofosbuvir (400 mg) for patients with genotype 1 who are treatment-naive without cirrhosis or with compensated cirrhosis</w:t>
            </w:r>
            <w:r w:rsidRPr="006A1597">
              <w:rPr>
                <w:rFonts w:cstheme="minorHAnsi"/>
                <w:vertAlign w:val="superscript"/>
              </w:rPr>
              <w:t>a</w:t>
            </w:r>
            <w:r w:rsidRPr="006A1597">
              <w:rPr>
                <w:rFonts w:cstheme="minorHAnsi"/>
              </w:rPr>
              <w:t>, or treatment-experienced</w:t>
            </w:r>
            <w:r w:rsidRPr="006A1597">
              <w:rPr>
                <w:rFonts w:cstheme="minorHAnsi"/>
                <w:vertAlign w:val="superscript"/>
              </w:rPr>
              <w:t>b</w:t>
            </w:r>
            <w:r w:rsidRPr="006A1597">
              <w:rPr>
                <w:rFonts w:cstheme="minorHAnsi"/>
              </w:rPr>
              <w:t xml:space="preserve"> without cirrhosis </w:t>
            </w:r>
          </w:p>
        </w:tc>
        <w:tc>
          <w:tcPr>
            <w:tcW w:w="1130" w:type="pct"/>
            <w:vAlign w:val="center"/>
            <w:hideMark/>
          </w:tcPr>
          <w:p w14:paraId="53422745" w14:textId="77777777" w:rsidR="006A1597" w:rsidRPr="006A1597" w:rsidRDefault="006A1597" w:rsidP="006A1597">
            <w:pPr>
              <w:jc w:val="center"/>
              <w:rPr>
                <w:rFonts w:cstheme="minorHAnsi"/>
              </w:rPr>
            </w:pPr>
            <w:r w:rsidRPr="006A1597">
              <w:rPr>
                <w:rFonts w:cstheme="minorHAnsi"/>
              </w:rPr>
              <w:t>12 weeks</w:t>
            </w:r>
          </w:p>
        </w:tc>
        <w:tc>
          <w:tcPr>
            <w:tcW w:w="1130" w:type="pct"/>
            <w:vAlign w:val="center"/>
            <w:hideMark/>
          </w:tcPr>
          <w:p w14:paraId="2BE973F5" w14:textId="77777777" w:rsidR="006A1597" w:rsidRPr="006A1597" w:rsidRDefault="006A1597" w:rsidP="006A1597">
            <w:pPr>
              <w:jc w:val="center"/>
              <w:rPr>
                <w:rFonts w:cstheme="minorHAnsi"/>
              </w:rPr>
            </w:pPr>
            <w:r w:rsidRPr="006A1597">
              <w:rPr>
                <w:rFonts w:cstheme="minorHAnsi"/>
              </w:rPr>
              <w:t>I, B</w:t>
            </w:r>
          </w:p>
        </w:tc>
      </w:tr>
      <w:tr w:rsidR="006A1597" w14:paraId="0BD12FA1" w14:textId="77777777" w:rsidTr="00C900B0">
        <w:trPr>
          <w:trHeight w:val="1000"/>
        </w:trPr>
        <w:tc>
          <w:tcPr>
            <w:tcW w:w="2740" w:type="pct"/>
            <w:hideMark/>
          </w:tcPr>
          <w:p w14:paraId="794AC4EE" w14:textId="77777777" w:rsidR="006A1597" w:rsidRPr="006A1597" w:rsidRDefault="006A1597">
            <w:pPr>
              <w:rPr>
                <w:rFonts w:cstheme="minorHAnsi"/>
              </w:rPr>
            </w:pPr>
            <w:r w:rsidRPr="006A1597">
              <w:rPr>
                <w:rFonts w:cstheme="minorHAnsi"/>
              </w:rPr>
              <w:t>Daily fixed-dose combination of ledipasvir (90 mg)/sofosbuvir (400 mg) for patients with genotype 1 who are treatment-experienced</w:t>
            </w:r>
            <w:r w:rsidRPr="006A1597">
              <w:rPr>
                <w:rFonts w:cstheme="minorHAnsi"/>
                <w:vertAlign w:val="superscript"/>
              </w:rPr>
              <w:t>b</w:t>
            </w:r>
            <w:r w:rsidRPr="006A1597">
              <w:rPr>
                <w:rFonts w:cstheme="minorHAnsi"/>
              </w:rPr>
              <w:t xml:space="preserve"> with compensated cirrhosis</w:t>
            </w:r>
            <w:r w:rsidRPr="006A1597">
              <w:rPr>
                <w:rFonts w:cstheme="minorHAnsi"/>
                <w:vertAlign w:val="superscript"/>
              </w:rPr>
              <w:t>a</w:t>
            </w:r>
            <w:r w:rsidRPr="006A1597">
              <w:rPr>
                <w:rFonts w:cstheme="minorHAnsi"/>
              </w:rPr>
              <w:t xml:space="preserve"> </w:t>
            </w:r>
          </w:p>
        </w:tc>
        <w:tc>
          <w:tcPr>
            <w:tcW w:w="1130" w:type="pct"/>
            <w:vAlign w:val="center"/>
            <w:hideMark/>
          </w:tcPr>
          <w:p w14:paraId="4471D838" w14:textId="77777777" w:rsidR="006A1597" w:rsidRPr="006A1597" w:rsidRDefault="006A1597" w:rsidP="006A1597">
            <w:pPr>
              <w:jc w:val="center"/>
              <w:rPr>
                <w:rFonts w:cstheme="minorHAnsi"/>
              </w:rPr>
            </w:pPr>
            <w:r w:rsidRPr="006A1597">
              <w:rPr>
                <w:rFonts w:cstheme="minorHAnsi"/>
              </w:rPr>
              <w:t>24 weeks</w:t>
            </w:r>
          </w:p>
        </w:tc>
        <w:tc>
          <w:tcPr>
            <w:tcW w:w="1130" w:type="pct"/>
            <w:vAlign w:val="center"/>
            <w:hideMark/>
          </w:tcPr>
          <w:p w14:paraId="5E80BCA0" w14:textId="77777777" w:rsidR="006A1597" w:rsidRPr="006A1597" w:rsidRDefault="006A1597" w:rsidP="006A1597">
            <w:pPr>
              <w:jc w:val="center"/>
              <w:rPr>
                <w:rFonts w:cstheme="minorHAnsi"/>
              </w:rPr>
            </w:pPr>
            <w:r w:rsidRPr="006A1597">
              <w:rPr>
                <w:rFonts w:cstheme="minorHAnsi"/>
              </w:rPr>
              <w:t>I, B</w:t>
            </w:r>
          </w:p>
        </w:tc>
      </w:tr>
      <w:tr w:rsidR="006A1597" w14:paraId="75A15C35" w14:textId="77777777" w:rsidTr="00C900B0">
        <w:trPr>
          <w:trHeight w:val="1000"/>
        </w:trPr>
        <w:tc>
          <w:tcPr>
            <w:tcW w:w="2740" w:type="pct"/>
            <w:hideMark/>
          </w:tcPr>
          <w:p w14:paraId="731CDD5F" w14:textId="77777777" w:rsidR="006A1597" w:rsidRPr="006A1597" w:rsidRDefault="006A1597" w:rsidP="00824944">
            <w:pPr>
              <w:rPr>
                <w:rFonts w:cstheme="minorHAnsi"/>
              </w:rPr>
            </w:pPr>
            <w:r w:rsidRPr="006A1597">
              <w:rPr>
                <w:rFonts w:cstheme="minorHAnsi"/>
              </w:rPr>
              <w:t>Daily sofosbuvir (400 mg) plus weight-based ribavirin for patients with genotype 2 who are treatment-naive or treatment-experienced</w:t>
            </w:r>
            <w:r w:rsidRPr="006A1597">
              <w:rPr>
                <w:rFonts w:cstheme="minorHAnsi"/>
                <w:vertAlign w:val="superscript"/>
              </w:rPr>
              <w:t>b</w:t>
            </w:r>
            <w:r w:rsidRPr="006A1597">
              <w:rPr>
                <w:rFonts w:cstheme="minorHAnsi"/>
              </w:rPr>
              <w:t xml:space="preserve"> without cirrhosis or with compensated cirrhosis</w:t>
            </w:r>
            <w:r w:rsidRPr="006A1597">
              <w:rPr>
                <w:rFonts w:cstheme="minorHAnsi"/>
                <w:vertAlign w:val="superscript"/>
              </w:rPr>
              <w:t>a</w:t>
            </w:r>
            <w:r w:rsidRPr="006A1597">
              <w:rPr>
                <w:rFonts w:cstheme="minorHAnsi"/>
              </w:rPr>
              <w:t xml:space="preserve"> </w:t>
            </w:r>
          </w:p>
        </w:tc>
        <w:tc>
          <w:tcPr>
            <w:tcW w:w="1130" w:type="pct"/>
            <w:vAlign w:val="center"/>
            <w:hideMark/>
          </w:tcPr>
          <w:p w14:paraId="356573F5" w14:textId="77777777" w:rsidR="006A1597" w:rsidRPr="006A1597" w:rsidRDefault="006A1597" w:rsidP="006A1597">
            <w:pPr>
              <w:jc w:val="center"/>
              <w:rPr>
                <w:rFonts w:cstheme="minorHAnsi"/>
              </w:rPr>
            </w:pPr>
            <w:r w:rsidRPr="006A1597">
              <w:rPr>
                <w:rFonts w:cstheme="minorHAnsi"/>
              </w:rPr>
              <w:t>12 weeks</w:t>
            </w:r>
          </w:p>
        </w:tc>
        <w:tc>
          <w:tcPr>
            <w:tcW w:w="1130" w:type="pct"/>
            <w:vAlign w:val="center"/>
            <w:hideMark/>
          </w:tcPr>
          <w:p w14:paraId="101E4DF5" w14:textId="77777777" w:rsidR="006A1597" w:rsidRPr="006A1597" w:rsidRDefault="006A1597" w:rsidP="006A1597">
            <w:pPr>
              <w:jc w:val="center"/>
              <w:rPr>
                <w:rFonts w:cstheme="minorHAnsi"/>
              </w:rPr>
            </w:pPr>
            <w:r w:rsidRPr="006A1597">
              <w:rPr>
                <w:rFonts w:cstheme="minorHAnsi"/>
              </w:rPr>
              <w:t>I, B</w:t>
            </w:r>
          </w:p>
        </w:tc>
      </w:tr>
      <w:tr w:rsidR="006A1597" w14:paraId="3851D237" w14:textId="77777777" w:rsidTr="00C900B0">
        <w:trPr>
          <w:trHeight w:val="988"/>
        </w:trPr>
        <w:tc>
          <w:tcPr>
            <w:tcW w:w="2740" w:type="pct"/>
            <w:hideMark/>
          </w:tcPr>
          <w:p w14:paraId="4A5B63E6" w14:textId="77777777" w:rsidR="006A1597" w:rsidRPr="006A1597" w:rsidRDefault="006A1597" w:rsidP="00824944">
            <w:pPr>
              <w:rPr>
                <w:rFonts w:cstheme="minorHAnsi"/>
              </w:rPr>
            </w:pPr>
            <w:r w:rsidRPr="006A1597">
              <w:rPr>
                <w:rFonts w:cstheme="minorHAnsi"/>
              </w:rPr>
              <w:t>Daily sofosbuvir (400</w:t>
            </w:r>
            <w:r w:rsidR="00824944">
              <w:rPr>
                <w:rFonts w:cstheme="minorHAnsi"/>
              </w:rPr>
              <w:t xml:space="preserve"> mg) plus weight-based ribavirin</w:t>
            </w:r>
            <w:r w:rsidRPr="006A1597">
              <w:rPr>
                <w:rFonts w:cstheme="minorHAnsi"/>
              </w:rPr>
              <w:t xml:space="preserve"> for patients with genotype 3 who are treatment-naive or treatment-experienced</w:t>
            </w:r>
            <w:r w:rsidRPr="006A1597">
              <w:rPr>
                <w:rFonts w:cstheme="minorHAnsi"/>
                <w:vertAlign w:val="superscript"/>
              </w:rPr>
              <w:t>b</w:t>
            </w:r>
            <w:r w:rsidRPr="006A1597">
              <w:rPr>
                <w:rFonts w:cstheme="minorHAnsi"/>
              </w:rPr>
              <w:t xml:space="preserve"> without cirrhosis or with compensated cirrhosis</w:t>
            </w:r>
            <w:r w:rsidRPr="006A1597">
              <w:rPr>
                <w:rFonts w:cstheme="minorHAnsi"/>
                <w:vertAlign w:val="superscript"/>
              </w:rPr>
              <w:t>a</w:t>
            </w:r>
            <w:r w:rsidRPr="006A1597">
              <w:rPr>
                <w:rFonts w:cstheme="minorHAnsi"/>
              </w:rPr>
              <w:t xml:space="preserve"> </w:t>
            </w:r>
          </w:p>
        </w:tc>
        <w:tc>
          <w:tcPr>
            <w:tcW w:w="1130" w:type="pct"/>
            <w:vAlign w:val="center"/>
            <w:hideMark/>
          </w:tcPr>
          <w:p w14:paraId="2F145821" w14:textId="77777777" w:rsidR="006A1597" w:rsidRPr="006A1597" w:rsidRDefault="006A1597" w:rsidP="006A1597">
            <w:pPr>
              <w:jc w:val="center"/>
              <w:rPr>
                <w:rFonts w:cstheme="minorHAnsi"/>
              </w:rPr>
            </w:pPr>
            <w:r w:rsidRPr="006A1597">
              <w:rPr>
                <w:rFonts w:cstheme="minorHAnsi"/>
              </w:rPr>
              <w:t>24 weeks</w:t>
            </w:r>
          </w:p>
        </w:tc>
        <w:tc>
          <w:tcPr>
            <w:tcW w:w="1130" w:type="pct"/>
            <w:vAlign w:val="center"/>
            <w:hideMark/>
          </w:tcPr>
          <w:p w14:paraId="3A85C135" w14:textId="77777777" w:rsidR="006A1597" w:rsidRPr="006A1597" w:rsidRDefault="006A1597" w:rsidP="006A1597">
            <w:pPr>
              <w:jc w:val="center"/>
              <w:rPr>
                <w:rFonts w:cstheme="minorHAnsi"/>
              </w:rPr>
            </w:pPr>
            <w:r w:rsidRPr="006A1597">
              <w:rPr>
                <w:rFonts w:cstheme="minorHAnsi"/>
              </w:rPr>
              <w:t>I, B</w:t>
            </w:r>
          </w:p>
        </w:tc>
      </w:tr>
      <w:tr w:rsidR="006A1597" w14:paraId="4F1ECA8B" w14:textId="77777777" w:rsidTr="00C900B0">
        <w:trPr>
          <w:trHeight w:val="1277"/>
        </w:trPr>
        <w:tc>
          <w:tcPr>
            <w:tcW w:w="2740" w:type="pct"/>
            <w:hideMark/>
          </w:tcPr>
          <w:p w14:paraId="35FA5828" w14:textId="77777777" w:rsidR="006A1597" w:rsidRPr="006A1597" w:rsidRDefault="006A1597">
            <w:pPr>
              <w:rPr>
                <w:rFonts w:cstheme="minorHAnsi"/>
              </w:rPr>
            </w:pPr>
            <w:r w:rsidRPr="006A1597">
              <w:rPr>
                <w:rFonts w:cstheme="minorHAnsi"/>
              </w:rPr>
              <w:t>Daily fixed-dose combination of ledipasvir (90 mg)/sofosbuvir (400 mg) for patients with genotype 4, 5, or 6 who are treatment-naive or treatment-experienced</w:t>
            </w:r>
            <w:r w:rsidRPr="006A1597">
              <w:rPr>
                <w:rFonts w:cstheme="minorHAnsi"/>
                <w:vertAlign w:val="superscript"/>
              </w:rPr>
              <w:t>b</w:t>
            </w:r>
            <w:r w:rsidRPr="006A1597">
              <w:rPr>
                <w:rFonts w:cstheme="minorHAnsi"/>
              </w:rPr>
              <w:t xml:space="preserve"> without cirrhosis or with compensated cirrhosis</w:t>
            </w:r>
            <w:r w:rsidRPr="006A1597">
              <w:rPr>
                <w:rFonts w:cstheme="minorHAnsi"/>
                <w:vertAlign w:val="superscript"/>
              </w:rPr>
              <w:t>a</w:t>
            </w:r>
            <w:r w:rsidRPr="006A1597">
              <w:rPr>
                <w:rFonts w:cstheme="minorHAnsi"/>
              </w:rPr>
              <w:t xml:space="preserve"> </w:t>
            </w:r>
          </w:p>
        </w:tc>
        <w:tc>
          <w:tcPr>
            <w:tcW w:w="1130" w:type="pct"/>
            <w:vAlign w:val="center"/>
            <w:hideMark/>
          </w:tcPr>
          <w:p w14:paraId="6014B7A4" w14:textId="77777777" w:rsidR="006A1597" w:rsidRPr="006A1597" w:rsidRDefault="006A1597" w:rsidP="006A1597">
            <w:pPr>
              <w:jc w:val="center"/>
              <w:rPr>
                <w:rFonts w:cstheme="minorHAnsi"/>
              </w:rPr>
            </w:pPr>
            <w:r w:rsidRPr="006A1597">
              <w:rPr>
                <w:rFonts w:cstheme="minorHAnsi"/>
              </w:rPr>
              <w:t>12 weeks</w:t>
            </w:r>
          </w:p>
        </w:tc>
        <w:tc>
          <w:tcPr>
            <w:tcW w:w="1130" w:type="pct"/>
            <w:vAlign w:val="center"/>
            <w:hideMark/>
          </w:tcPr>
          <w:p w14:paraId="15D608DD" w14:textId="77777777" w:rsidR="006A1597" w:rsidRPr="006A1597" w:rsidRDefault="006A1597" w:rsidP="006A1597">
            <w:pPr>
              <w:jc w:val="center"/>
              <w:rPr>
                <w:rFonts w:cstheme="minorHAnsi"/>
              </w:rPr>
            </w:pPr>
            <w:r w:rsidRPr="006A1597">
              <w:rPr>
                <w:rFonts w:cstheme="minorHAnsi"/>
              </w:rPr>
              <w:t>I, B</w:t>
            </w:r>
          </w:p>
        </w:tc>
      </w:tr>
      <w:tr w:rsidR="006A1597" w14:paraId="0933057E" w14:textId="77777777" w:rsidTr="00C900B0">
        <w:trPr>
          <w:trHeight w:val="449"/>
        </w:trPr>
        <w:tc>
          <w:tcPr>
            <w:tcW w:w="5000" w:type="pct"/>
            <w:gridSpan w:val="3"/>
            <w:hideMark/>
          </w:tcPr>
          <w:p w14:paraId="6B4D228A" w14:textId="77777777" w:rsidR="006A1597" w:rsidRPr="006A1597" w:rsidRDefault="006A1597" w:rsidP="00824944">
            <w:r w:rsidRPr="006A1597">
              <w:rPr>
                <w:sz w:val="15"/>
                <w:szCs w:val="15"/>
                <w:vertAlign w:val="superscript"/>
              </w:rPr>
              <w:t>a</w:t>
            </w:r>
            <w:r w:rsidRPr="006A1597">
              <w:rPr>
                <w:sz w:val="15"/>
                <w:szCs w:val="15"/>
              </w:rPr>
              <w:t xml:space="preserve"> Child-Pugh A</w:t>
            </w:r>
            <w:r w:rsidRPr="006A1597">
              <w:rPr>
                <w:sz w:val="15"/>
                <w:szCs w:val="15"/>
              </w:rPr>
              <w:br/>
            </w:r>
            <w:r w:rsidRPr="006A1597">
              <w:rPr>
                <w:sz w:val="15"/>
                <w:szCs w:val="15"/>
                <w:vertAlign w:val="superscript"/>
              </w:rPr>
              <w:t>b</w:t>
            </w:r>
            <w:r w:rsidRPr="006A1597">
              <w:rPr>
                <w:sz w:val="15"/>
                <w:szCs w:val="15"/>
              </w:rPr>
              <w:t xml:space="preserve"> Patients who have failed an interferon-based reg</w:t>
            </w:r>
            <w:r w:rsidR="00824944">
              <w:rPr>
                <w:sz w:val="15"/>
                <w:szCs w:val="15"/>
              </w:rPr>
              <w:t>imen, with or without ribavirin</w:t>
            </w:r>
          </w:p>
        </w:tc>
      </w:tr>
    </w:tbl>
    <w:p w14:paraId="056661E8" w14:textId="77777777" w:rsidR="006A1597" w:rsidRDefault="006A1597" w:rsidP="00FE1871">
      <w:pPr>
        <w:pStyle w:val="ListParagraph"/>
        <w:ind w:left="1080"/>
      </w:pPr>
    </w:p>
    <w:sectPr w:rsidR="006A15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23226" w14:textId="77777777" w:rsidR="00B92D1B" w:rsidRDefault="00B92D1B" w:rsidP="001730F8">
      <w:pPr>
        <w:spacing w:after="0" w:line="240" w:lineRule="auto"/>
      </w:pPr>
      <w:r>
        <w:separator/>
      </w:r>
    </w:p>
  </w:endnote>
  <w:endnote w:type="continuationSeparator" w:id="0">
    <w:p w14:paraId="0413FCAC" w14:textId="77777777" w:rsidR="00B92D1B" w:rsidRDefault="00B92D1B" w:rsidP="0017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4C250" w14:textId="77777777" w:rsidR="00B92D1B" w:rsidRDefault="00B92D1B" w:rsidP="001730F8">
    <w:pPr>
      <w:pStyle w:val="Footer"/>
    </w:pPr>
    <w:r>
      <w:t>M. Sedillo</w:t>
    </w:r>
  </w:p>
  <w:p w14:paraId="19FF3C00" w14:textId="2A983D47" w:rsidR="00B92D1B" w:rsidRPr="001730F8" w:rsidRDefault="00B92D1B" w:rsidP="001730F8">
    <w:pPr>
      <w:pStyle w:val="Footer"/>
    </w:pPr>
    <w:r>
      <w:t>K. Thornton</w:t>
    </w:r>
    <w:r>
      <w:ptab w:relativeTo="margin" w:alignment="center" w:leader="none"/>
    </w:r>
    <w:r>
      <w:t>3/21/2018</w:t>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941A36">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41A36">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D1C31" w14:textId="77777777" w:rsidR="00B92D1B" w:rsidRDefault="00B92D1B" w:rsidP="001730F8">
      <w:pPr>
        <w:spacing w:after="0" w:line="240" w:lineRule="auto"/>
      </w:pPr>
      <w:r>
        <w:separator/>
      </w:r>
    </w:p>
  </w:footnote>
  <w:footnote w:type="continuationSeparator" w:id="0">
    <w:p w14:paraId="577B3FC8" w14:textId="77777777" w:rsidR="00B92D1B" w:rsidRDefault="00B92D1B" w:rsidP="001730F8">
      <w:pPr>
        <w:spacing w:after="0" w:line="240" w:lineRule="auto"/>
      </w:pPr>
      <w:r>
        <w:continuationSeparator/>
      </w:r>
    </w:p>
  </w:footnote>
  <w:footnote w:id="1">
    <w:p w14:paraId="3997DFB1" w14:textId="77777777" w:rsidR="00B92D1B" w:rsidRPr="00966A55" w:rsidRDefault="00B92D1B">
      <w:pPr>
        <w:pStyle w:val="FootnoteText"/>
        <w:rPr>
          <w:sz w:val="18"/>
          <w:szCs w:val="18"/>
        </w:rPr>
      </w:pPr>
      <w:r w:rsidRPr="00966A55">
        <w:rPr>
          <w:rStyle w:val="FootnoteReference"/>
          <w:sz w:val="18"/>
          <w:szCs w:val="18"/>
        </w:rPr>
        <w:footnoteRef/>
      </w:r>
      <w:r w:rsidRPr="00966A55">
        <w:rPr>
          <w:sz w:val="18"/>
          <w:szCs w:val="18"/>
        </w:rPr>
        <w:t xml:space="preserve"> U.S. Food and Drug Administration. FDA approves two hepatitis C drugs for pediatric patients. </w:t>
      </w:r>
      <w:hyperlink r:id="rId1" w:history="1">
        <w:r w:rsidRPr="00966A55">
          <w:rPr>
            <w:rStyle w:val="Hyperlink"/>
            <w:sz w:val="18"/>
            <w:szCs w:val="18"/>
          </w:rPr>
          <w:t>https://www.fda.gov/NewsEvents/Newsroom/PressAnnouncements/ucm551407.htm</w:t>
        </w:r>
      </w:hyperlink>
      <w:r w:rsidRPr="00966A55">
        <w:rPr>
          <w:sz w:val="18"/>
          <w:szCs w:val="18"/>
        </w:rPr>
        <w:t>. Press release on 7 April 2017. Accessed on 22 March 2018.</w:t>
      </w:r>
    </w:p>
  </w:footnote>
  <w:footnote w:id="2">
    <w:p w14:paraId="126D5428" w14:textId="77777777" w:rsidR="00B92D1B" w:rsidRDefault="00B92D1B">
      <w:pPr>
        <w:pStyle w:val="FootnoteText"/>
      </w:pPr>
      <w:r>
        <w:rPr>
          <w:rStyle w:val="FootnoteReference"/>
        </w:rPr>
        <w:footnoteRef/>
      </w:r>
      <w:r>
        <w:t xml:space="preserve"> </w:t>
      </w:r>
      <w:r w:rsidRPr="00966A55">
        <w:rPr>
          <w:sz w:val="18"/>
          <w:szCs w:val="18"/>
        </w:rPr>
        <w:t xml:space="preserve">AASLD-IDSA. HCV in children. Recommendations for testing, managing, and treating hepatitis C. </w:t>
      </w:r>
      <w:hyperlink r:id="rId2" w:history="1">
        <w:r w:rsidRPr="00966A55">
          <w:rPr>
            <w:rStyle w:val="Hyperlink"/>
            <w:sz w:val="18"/>
            <w:szCs w:val="18"/>
          </w:rPr>
          <w:t>https://www.hcvguidelines.org/unique-populations/children</w:t>
        </w:r>
      </w:hyperlink>
      <w:r w:rsidRPr="00966A55">
        <w:rPr>
          <w:sz w:val="18"/>
          <w:szCs w:val="18"/>
        </w:rPr>
        <w:t>. Accessed 22 March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765"/>
    <w:multiLevelType w:val="hybridMultilevel"/>
    <w:tmpl w:val="058AE1B0"/>
    <w:lvl w:ilvl="0" w:tplc="B3206B40">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C5DA1"/>
    <w:multiLevelType w:val="multilevel"/>
    <w:tmpl w:val="6A86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F00FC"/>
    <w:multiLevelType w:val="hybridMultilevel"/>
    <w:tmpl w:val="D9B6D784"/>
    <w:lvl w:ilvl="0" w:tplc="F1D05FD0">
      <w:start w:val="1"/>
      <w:numFmt w:val="upperRoman"/>
      <w:pStyle w:val="Heading2"/>
      <w:lvlText w:val="%1."/>
      <w:lvlJc w:val="left"/>
      <w:pPr>
        <w:ind w:left="720" w:hanging="72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109EEC62">
      <w:start w:val="1"/>
      <w:numFmt w:val="decimal"/>
      <w:lvlText w:val="%5)"/>
      <w:lvlJc w:val="left"/>
      <w:pPr>
        <w:ind w:left="3240" w:hanging="360"/>
      </w:pPr>
      <w:rPr>
        <w:rFonts w:hint="default"/>
      </w:rPr>
    </w:lvl>
    <w:lvl w:ilvl="5" w:tplc="6B1446E2">
      <w:start w:val="3"/>
      <w:numFmt w:val="bullet"/>
      <w:lvlText w:val="-"/>
      <w:lvlJc w:val="left"/>
      <w:pPr>
        <w:ind w:left="4140" w:hanging="360"/>
      </w:pPr>
      <w:rPr>
        <w:rFonts w:ascii="Calibri" w:eastAsiaTheme="minorHAnsi" w:hAnsi="Calibri" w:cs="Calibri"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031D75"/>
    <w:multiLevelType w:val="hybridMultilevel"/>
    <w:tmpl w:val="17D46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3364C"/>
    <w:multiLevelType w:val="hybridMultilevel"/>
    <w:tmpl w:val="8482E9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536747"/>
    <w:multiLevelType w:val="hybridMultilevel"/>
    <w:tmpl w:val="E0604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09"/>
    <w:rsid w:val="00092C88"/>
    <w:rsid w:val="00106FC3"/>
    <w:rsid w:val="001730F8"/>
    <w:rsid w:val="001D212D"/>
    <w:rsid w:val="001F66DB"/>
    <w:rsid w:val="00213E9E"/>
    <w:rsid w:val="00214E4E"/>
    <w:rsid w:val="004338FA"/>
    <w:rsid w:val="00444AB2"/>
    <w:rsid w:val="004F12B8"/>
    <w:rsid w:val="00526017"/>
    <w:rsid w:val="0053565C"/>
    <w:rsid w:val="006841A2"/>
    <w:rsid w:val="006A1597"/>
    <w:rsid w:val="0076544D"/>
    <w:rsid w:val="00824944"/>
    <w:rsid w:val="008834E8"/>
    <w:rsid w:val="008A7EE9"/>
    <w:rsid w:val="00906336"/>
    <w:rsid w:val="00941A36"/>
    <w:rsid w:val="009432B0"/>
    <w:rsid w:val="00966A55"/>
    <w:rsid w:val="00985F88"/>
    <w:rsid w:val="009C2083"/>
    <w:rsid w:val="00A9030B"/>
    <w:rsid w:val="00AC4F09"/>
    <w:rsid w:val="00AE783B"/>
    <w:rsid w:val="00B20427"/>
    <w:rsid w:val="00B92D1B"/>
    <w:rsid w:val="00C01751"/>
    <w:rsid w:val="00C5376C"/>
    <w:rsid w:val="00C900B0"/>
    <w:rsid w:val="00C92879"/>
    <w:rsid w:val="00CA6C8D"/>
    <w:rsid w:val="00D777DA"/>
    <w:rsid w:val="00DA6534"/>
    <w:rsid w:val="00DF37A3"/>
    <w:rsid w:val="00E05B56"/>
    <w:rsid w:val="00E6639D"/>
    <w:rsid w:val="00E86EBC"/>
    <w:rsid w:val="00F40474"/>
    <w:rsid w:val="00FA00C0"/>
    <w:rsid w:val="00FA6F7E"/>
    <w:rsid w:val="00FE1871"/>
    <w:rsid w:val="00FF2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7E90"/>
  <w15:chartTrackingRefBased/>
  <w15:docId w15:val="{7BD78792-2331-4E39-AF07-3639764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30F8"/>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1730F8"/>
    <w:pPr>
      <w:keepNext/>
      <w:keepLines/>
      <w:numPr>
        <w:numId w:val="3"/>
      </w:numPr>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AC4F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C4F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0F8"/>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1730F8"/>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AC4F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C4F0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AC4F09"/>
    <w:pPr>
      <w:ind w:left="720"/>
      <w:contextualSpacing/>
    </w:pPr>
  </w:style>
  <w:style w:type="paragraph" w:styleId="Header">
    <w:name w:val="header"/>
    <w:basedOn w:val="Normal"/>
    <w:link w:val="HeaderChar"/>
    <w:uiPriority w:val="99"/>
    <w:unhideWhenUsed/>
    <w:rsid w:val="00173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F8"/>
  </w:style>
  <w:style w:type="paragraph" w:styleId="Footer">
    <w:name w:val="footer"/>
    <w:basedOn w:val="Normal"/>
    <w:link w:val="FooterChar"/>
    <w:uiPriority w:val="99"/>
    <w:unhideWhenUsed/>
    <w:rsid w:val="00173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F8"/>
  </w:style>
  <w:style w:type="table" w:styleId="TableGrid">
    <w:name w:val="Table Grid"/>
    <w:basedOn w:val="TableNormal"/>
    <w:uiPriority w:val="39"/>
    <w:rsid w:val="006A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663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39D"/>
    <w:rPr>
      <w:sz w:val="20"/>
      <w:szCs w:val="20"/>
    </w:rPr>
  </w:style>
  <w:style w:type="character" w:styleId="FootnoteReference">
    <w:name w:val="footnote reference"/>
    <w:basedOn w:val="DefaultParagraphFont"/>
    <w:uiPriority w:val="99"/>
    <w:semiHidden/>
    <w:unhideWhenUsed/>
    <w:rsid w:val="00E6639D"/>
    <w:rPr>
      <w:vertAlign w:val="superscript"/>
    </w:rPr>
  </w:style>
  <w:style w:type="character" w:customStyle="1" w:styleId="field-content">
    <w:name w:val="field-content"/>
    <w:basedOn w:val="DefaultParagraphFont"/>
    <w:rsid w:val="00E6639D"/>
  </w:style>
  <w:style w:type="character" w:customStyle="1" w:styleId="biblio-authors">
    <w:name w:val="biblio-authors"/>
    <w:basedOn w:val="DefaultParagraphFont"/>
    <w:rsid w:val="00E6639D"/>
  </w:style>
  <w:style w:type="character" w:customStyle="1" w:styleId="biblio-title">
    <w:name w:val="biblio-title"/>
    <w:basedOn w:val="DefaultParagraphFont"/>
    <w:rsid w:val="00E6639D"/>
  </w:style>
  <w:style w:type="character" w:styleId="Hyperlink">
    <w:name w:val="Hyperlink"/>
    <w:basedOn w:val="DefaultParagraphFont"/>
    <w:uiPriority w:val="99"/>
    <w:unhideWhenUsed/>
    <w:rsid w:val="00E6639D"/>
    <w:rPr>
      <w:color w:val="0563C1" w:themeColor="hyperlink"/>
      <w:u w:val="single"/>
    </w:rPr>
  </w:style>
  <w:style w:type="paragraph" w:styleId="Caption">
    <w:name w:val="caption"/>
    <w:basedOn w:val="Normal"/>
    <w:next w:val="Normal"/>
    <w:uiPriority w:val="35"/>
    <w:unhideWhenUsed/>
    <w:qFormat/>
    <w:rsid w:val="00092C8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214E4E"/>
    <w:rPr>
      <w:sz w:val="16"/>
      <w:szCs w:val="16"/>
    </w:rPr>
  </w:style>
  <w:style w:type="paragraph" w:styleId="CommentText">
    <w:name w:val="annotation text"/>
    <w:basedOn w:val="Normal"/>
    <w:link w:val="CommentTextChar"/>
    <w:uiPriority w:val="99"/>
    <w:semiHidden/>
    <w:unhideWhenUsed/>
    <w:rsid w:val="00214E4E"/>
    <w:pPr>
      <w:spacing w:line="240" w:lineRule="auto"/>
    </w:pPr>
    <w:rPr>
      <w:sz w:val="20"/>
      <w:szCs w:val="20"/>
    </w:rPr>
  </w:style>
  <w:style w:type="character" w:customStyle="1" w:styleId="CommentTextChar">
    <w:name w:val="Comment Text Char"/>
    <w:basedOn w:val="DefaultParagraphFont"/>
    <w:link w:val="CommentText"/>
    <w:uiPriority w:val="99"/>
    <w:semiHidden/>
    <w:rsid w:val="00214E4E"/>
    <w:rPr>
      <w:sz w:val="20"/>
      <w:szCs w:val="20"/>
    </w:rPr>
  </w:style>
  <w:style w:type="paragraph" w:styleId="CommentSubject">
    <w:name w:val="annotation subject"/>
    <w:basedOn w:val="CommentText"/>
    <w:next w:val="CommentText"/>
    <w:link w:val="CommentSubjectChar"/>
    <w:uiPriority w:val="99"/>
    <w:semiHidden/>
    <w:unhideWhenUsed/>
    <w:rsid w:val="00214E4E"/>
    <w:rPr>
      <w:b/>
      <w:bCs/>
    </w:rPr>
  </w:style>
  <w:style w:type="character" w:customStyle="1" w:styleId="CommentSubjectChar">
    <w:name w:val="Comment Subject Char"/>
    <w:basedOn w:val="CommentTextChar"/>
    <w:link w:val="CommentSubject"/>
    <w:uiPriority w:val="99"/>
    <w:semiHidden/>
    <w:rsid w:val="00214E4E"/>
    <w:rPr>
      <w:b/>
      <w:bCs/>
      <w:sz w:val="20"/>
      <w:szCs w:val="20"/>
    </w:rPr>
  </w:style>
  <w:style w:type="paragraph" w:styleId="BalloonText">
    <w:name w:val="Balloon Text"/>
    <w:basedOn w:val="Normal"/>
    <w:link w:val="BalloonTextChar"/>
    <w:uiPriority w:val="99"/>
    <w:semiHidden/>
    <w:unhideWhenUsed/>
    <w:rsid w:val="00214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07256">
      <w:bodyDiv w:val="1"/>
      <w:marLeft w:val="0"/>
      <w:marRight w:val="0"/>
      <w:marTop w:val="0"/>
      <w:marBottom w:val="0"/>
      <w:divBdr>
        <w:top w:val="none" w:sz="0" w:space="0" w:color="auto"/>
        <w:left w:val="none" w:sz="0" w:space="0" w:color="auto"/>
        <w:bottom w:val="none" w:sz="0" w:space="0" w:color="auto"/>
        <w:right w:val="none" w:sz="0" w:space="0" w:color="auto"/>
      </w:divBdr>
    </w:div>
    <w:div w:id="2120443278">
      <w:bodyDiv w:val="1"/>
      <w:marLeft w:val="0"/>
      <w:marRight w:val="0"/>
      <w:marTop w:val="0"/>
      <w:marBottom w:val="0"/>
      <w:divBdr>
        <w:top w:val="none" w:sz="0" w:space="0" w:color="auto"/>
        <w:left w:val="none" w:sz="0" w:space="0" w:color="auto"/>
        <w:bottom w:val="none" w:sz="0" w:space="0" w:color="auto"/>
        <w:right w:val="none" w:sz="0" w:space="0" w:color="auto"/>
      </w:divBdr>
    </w:div>
    <w:div w:id="2143771432">
      <w:bodyDiv w:val="1"/>
      <w:marLeft w:val="0"/>
      <w:marRight w:val="0"/>
      <w:marTop w:val="0"/>
      <w:marBottom w:val="0"/>
      <w:divBdr>
        <w:top w:val="none" w:sz="0" w:space="0" w:color="auto"/>
        <w:left w:val="none" w:sz="0" w:space="0" w:color="auto"/>
        <w:bottom w:val="none" w:sz="0" w:space="0" w:color="auto"/>
        <w:right w:val="none" w:sz="0" w:space="0" w:color="auto"/>
      </w:divBdr>
      <w:divsChild>
        <w:div w:id="1312251116">
          <w:marLeft w:val="0"/>
          <w:marRight w:val="0"/>
          <w:marTop w:val="0"/>
          <w:marBottom w:val="0"/>
          <w:divBdr>
            <w:top w:val="none" w:sz="0" w:space="0" w:color="auto"/>
            <w:left w:val="none" w:sz="0" w:space="0" w:color="auto"/>
            <w:bottom w:val="none" w:sz="0" w:space="0" w:color="auto"/>
            <w:right w:val="none" w:sz="0" w:space="0" w:color="auto"/>
          </w:divBdr>
          <w:divsChild>
            <w:div w:id="1947879885">
              <w:marLeft w:val="0"/>
              <w:marRight w:val="0"/>
              <w:marTop w:val="0"/>
              <w:marBottom w:val="0"/>
              <w:divBdr>
                <w:top w:val="none" w:sz="0" w:space="0" w:color="auto"/>
                <w:left w:val="none" w:sz="0" w:space="0" w:color="auto"/>
                <w:bottom w:val="none" w:sz="0" w:space="0" w:color="auto"/>
                <w:right w:val="none" w:sz="0" w:space="0" w:color="auto"/>
              </w:divBdr>
              <w:divsChild>
                <w:div w:id="859006743">
                  <w:marLeft w:val="0"/>
                  <w:marRight w:val="0"/>
                  <w:marTop w:val="0"/>
                  <w:marBottom w:val="0"/>
                  <w:divBdr>
                    <w:top w:val="none" w:sz="0" w:space="0" w:color="auto"/>
                    <w:left w:val="none" w:sz="0" w:space="0" w:color="auto"/>
                    <w:bottom w:val="none" w:sz="0" w:space="0" w:color="auto"/>
                    <w:right w:val="none" w:sz="0" w:space="0" w:color="auto"/>
                  </w:divBdr>
                  <w:divsChild>
                    <w:div w:id="1872257716">
                      <w:marLeft w:val="0"/>
                      <w:marRight w:val="0"/>
                      <w:marTop w:val="0"/>
                      <w:marBottom w:val="0"/>
                      <w:divBdr>
                        <w:top w:val="none" w:sz="0" w:space="0" w:color="auto"/>
                        <w:left w:val="none" w:sz="0" w:space="0" w:color="auto"/>
                        <w:bottom w:val="none" w:sz="0" w:space="0" w:color="auto"/>
                        <w:right w:val="none" w:sz="0" w:space="0" w:color="auto"/>
                      </w:divBdr>
                      <w:divsChild>
                        <w:div w:id="12025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75290">
          <w:marLeft w:val="0"/>
          <w:marRight w:val="0"/>
          <w:marTop w:val="0"/>
          <w:marBottom w:val="0"/>
          <w:divBdr>
            <w:top w:val="none" w:sz="0" w:space="0" w:color="auto"/>
            <w:left w:val="none" w:sz="0" w:space="0" w:color="auto"/>
            <w:bottom w:val="none" w:sz="0" w:space="0" w:color="auto"/>
            <w:right w:val="none" w:sz="0" w:space="0" w:color="auto"/>
          </w:divBdr>
          <w:divsChild>
            <w:div w:id="1194853154">
              <w:marLeft w:val="0"/>
              <w:marRight w:val="225"/>
              <w:marTop w:val="0"/>
              <w:marBottom w:val="0"/>
              <w:divBdr>
                <w:top w:val="none" w:sz="0" w:space="0" w:color="auto"/>
                <w:left w:val="none" w:sz="0" w:space="0" w:color="auto"/>
                <w:bottom w:val="none" w:sz="0" w:space="0" w:color="auto"/>
                <w:right w:val="none" w:sz="0" w:space="0" w:color="auto"/>
              </w:divBdr>
              <w:divsChild>
                <w:div w:id="1021467990">
                  <w:marLeft w:val="0"/>
                  <w:marRight w:val="0"/>
                  <w:marTop w:val="0"/>
                  <w:marBottom w:val="0"/>
                  <w:divBdr>
                    <w:top w:val="none" w:sz="0" w:space="0" w:color="auto"/>
                    <w:left w:val="none" w:sz="0" w:space="0" w:color="auto"/>
                    <w:bottom w:val="none" w:sz="0" w:space="0" w:color="auto"/>
                    <w:right w:val="none" w:sz="0" w:space="0" w:color="auto"/>
                  </w:divBdr>
                  <w:divsChild>
                    <w:div w:id="595292283">
                      <w:marLeft w:val="0"/>
                      <w:marRight w:val="0"/>
                      <w:marTop w:val="0"/>
                      <w:marBottom w:val="0"/>
                      <w:divBdr>
                        <w:top w:val="none" w:sz="0" w:space="0" w:color="auto"/>
                        <w:left w:val="none" w:sz="0" w:space="0" w:color="auto"/>
                        <w:bottom w:val="none" w:sz="0" w:space="0" w:color="auto"/>
                        <w:right w:val="none" w:sz="0" w:space="0" w:color="auto"/>
                      </w:divBdr>
                      <w:divsChild>
                        <w:div w:id="532575037">
                          <w:marLeft w:val="0"/>
                          <w:marRight w:val="0"/>
                          <w:marTop w:val="0"/>
                          <w:marBottom w:val="0"/>
                          <w:divBdr>
                            <w:top w:val="none" w:sz="0" w:space="0" w:color="auto"/>
                            <w:left w:val="none" w:sz="0" w:space="0" w:color="auto"/>
                            <w:bottom w:val="none" w:sz="0" w:space="0" w:color="auto"/>
                            <w:right w:val="none" w:sz="0" w:space="0" w:color="auto"/>
                          </w:divBdr>
                          <w:divsChild>
                            <w:div w:id="148979784">
                              <w:marLeft w:val="0"/>
                              <w:marRight w:val="0"/>
                              <w:marTop w:val="0"/>
                              <w:marBottom w:val="0"/>
                              <w:divBdr>
                                <w:top w:val="none" w:sz="0" w:space="0" w:color="auto"/>
                                <w:left w:val="none" w:sz="0" w:space="0" w:color="auto"/>
                                <w:bottom w:val="none" w:sz="0" w:space="0" w:color="auto"/>
                                <w:right w:val="none" w:sz="0" w:space="0" w:color="auto"/>
                              </w:divBdr>
                              <w:divsChild>
                                <w:div w:id="16586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hcvguidelines.org/unique-populations/children" TargetMode="External"/><Relationship Id="rId1" Type="http://schemas.openxmlformats.org/officeDocument/2006/relationships/hyperlink" Target="https://www.fda.gov/NewsEvents/Newsroom/PressAnnouncements/ucm5514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AACE7-0F51-49EF-A1AB-5882C273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2270</Words>
  <Characters>12940</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Sedillo</dc:creator>
  <cp:keywords/>
  <dc:description/>
  <cp:lastModifiedBy>KThornton@health.unm.edu</cp:lastModifiedBy>
  <cp:revision>2</cp:revision>
  <dcterms:created xsi:type="dcterms:W3CDTF">2018-04-24T21:16:00Z</dcterms:created>
  <dcterms:modified xsi:type="dcterms:W3CDTF">2018-04-24T21:16:00Z</dcterms:modified>
</cp:coreProperties>
</file>